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4581C" w14:textId="6306D7AE" w:rsidR="0055754C" w:rsidRDefault="5EB5728B" w:rsidP="00A23724">
      <w:pPr>
        <w:pStyle w:val="Heading1"/>
        <w:spacing w:before="0"/>
      </w:pPr>
      <w:r>
        <w:t xml:space="preserve">IEP File Review Rubric </w:t>
      </w:r>
    </w:p>
    <w:p w14:paraId="672A6659" w14:textId="77777777" w:rsidR="00A23724" w:rsidRDefault="00A23724" w:rsidP="00A23724"/>
    <w:p w14:paraId="049766A6" w14:textId="6970804F" w:rsidR="007A089C" w:rsidRDefault="5EB5728B" w:rsidP="00A23724">
      <w:r>
        <w:t xml:space="preserve">The alternate assessment is an option for students with the </w:t>
      </w:r>
      <w:r w:rsidRPr="5EB5728B">
        <w:rPr>
          <w:i/>
          <w:iCs/>
        </w:rPr>
        <w:t>most significant</w:t>
      </w:r>
      <w:r>
        <w:t xml:space="preserve"> cognitive disabilities. When making decisions regarding assessment eligibility, teams must determine if a student meets all three of the following criteria. </w:t>
      </w:r>
    </w:p>
    <w:p w14:paraId="259FBC1C" w14:textId="0A466FE0" w:rsidR="5EB5728B" w:rsidRDefault="5EB5728B" w:rsidP="5EB5728B">
      <w:pPr>
        <w:pStyle w:val="Heading1"/>
        <w:spacing w:before="0"/>
        <w:jc w:val="left"/>
        <w:rPr>
          <w:sz w:val="32"/>
          <w:szCs w:val="32"/>
        </w:rPr>
      </w:pPr>
    </w:p>
    <w:p w14:paraId="3B71CF5A" w14:textId="3185DD34" w:rsidR="5EB5728B" w:rsidRDefault="5EB5728B" w:rsidP="5EB5728B">
      <w:pPr>
        <w:pStyle w:val="Heading1"/>
        <w:spacing w:before="0"/>
        <w:jc w:val="left"/>
        <w:rPr>
          <w:sz w:val="32"/>
          <w:szCs w:val="32"/>
        </w:rPr>
      </w:pPr>
      <w:r w:rsidRPr="5EB5728B">
        <w:rPr>
          <w:sz w:val="32"/>
          <w:szCs w:val="32"/>
        </w:rPr>
        <w:t>Criterion One: Significant Cognitive Disability</w:t>
      </w:r>
    </w:p>
    <w:p w14:paraId="199BC1F8" w14:textId="77777777" w:rsidR="00043CD5" w:rsidRPr="00043CD5" w:rsidRDefault="00A23724" w:rsidP="00A23724">
      <w:r w:rsidRPr="00043CD5">
        <w:t xml:space="preserve">In making decisions regarding assessment </w:t>
      </w:r>
      <w:r w:rsidR="00F53F60">
        <w:t>participation</w:t>
      </w:r>
      <w:r w:rsidRPr="00043CD5">
        <w:t>,</w:t>
      </w:r>
      <w:r w:rsidR="007A089C">
        <w:t xml:space="preserve"> </w:t>
      </w:r>
      <w:r w:rsidRPr="00043CD5">
        <w:t xml:space="preserve">teams must </w:t>
      </w:r>
      <w:r w:rsidR="00F53F60">
        <w:t xml:space="preserve">first </w:t>
      </w:r>
      <w:r w:rsidRPr="00043CD5">
        <w:t xml:space="preserve">determine if a student demonstrates a significant cognitive disability. Below are some considerations teams </w:t>
      </w:r>
      <w:r w:rsidR="00F53F60">
        <w:t>must</w:t>
      </w:r>
      <w:r w:rsidR="00F53F60" w:rsidRPr="00043CD5">
        <w:t xml:space="preserve"> </w:t>
      </w:r>
      <w:r w:rsidRPr="00043CD5">
        <w:t xml:space="preserve">address to </w:t>
      </w:r>
      <w:r w:rsidR="00F53F60">
        <w:t>en</w:t>
      </w:r>
      <w:r w:rsidRPr="00043CD5">
        <w:t xml:space="preserve">sure decisions are based on a holistic view of the student and do not focus purely an IQ score as there are many factors that can impact assessment performance.  </w:t>
      </w:r>
    </w:p>
    <w:p w14:paraId="5DAB6C7B" w14:textId="77777777" w:rsidR="00043CD5" w:rsidRDefault="00043CD5" w:rsidP="00A23724">
      <w:pPr>
        <w:rPr>
          <w:sz w:val="22"/>
        </w:rPr>
      </w:pPr>
    </w:p>
    <w:p w14:paraId="1141F7D0" w14:textId="77777777" w:rsidR="00043CD5" w:rsidRPr="004554C2" w:rsidRDefault="00043CD5" w:rsidP="00A23724">
      <w:r w:rsidRPr="004554C2">
        <w:t>When reviewing a student file, rate the following considerations using the scale:</w:t>
      </w:r>
    </w:p>
    <w:p w14:paraId="4052807E" w14:textId="77777777" w:rsidR="00043CD5" w:rsidRPr="004554C2" w:rsidRDefault="00043CD5" w:rsidP="00A23724">
      <w:r w:rsidRPr="004554C2">
        <w:tab/>
        <w:t>1 = No evidence to support the IEP team decision</w:t>
      </w:r>
    </w:p>
    <w:p w14:paraId="56B10BA1" w14:textId="77777777" w:rsidR="00043CD5" w:rsidRPr="004554C2" w:rsidRDefault="00043CD5" w:rsidP="00A23724">
      <w:r w:rsidRPr="004554C2">
        <w:tab/>
        <w:t>3 = Minimal evidence or inconclusive support of the IEP team decision</w:t>
      </w:r>
    </w:p>
    <w:p w14:paraId="175E5806" w14:textId="77777777" w:rsidR="00043CD5" w:rsidRPr="004554C2" w:rsidRDefault="00043CD5" w:rsidP="00A23724">
      <w:r w:rsidRPr="004554C2">
        <w:tab/>
        <w:t>5 = Clear evidence to support the IEP team decision</w:t>
      </w:r>
    </w:p>
    <w:p w14:paraId="02EB378F" w14:textId="77777777" w:rsidR="00A23724" w:rsidRPr="00A23724" w:rsidRDefault="00A23724" w:rsidP="00A23724"/>
    <w:tbl>
      <w:tblPr>
        <w:tblStyle w:val="a"/>
        <w:tblW w:w="13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432"/>
        <w:gridCol w:w="432"/>
        <w:gridCol w:w="432"/>
        <w:gridCol w:w="432"/>
        <w:gridCol w:w="432"/>
        <w:gridCol w:w="5130"/>
        <w:gridCol w:w="2353"/>
      </w:tblGrid>
      <w:tr w:rsidR="006F54CA" w:rsidRPr="000F02EC" w14:paraId="56488CE2" w14:textId="77777777" w:rsidTr="00F55113">
        <w:trPr>
          <w:trHeight w:val="440"/>
          <w:tblHeader/>
        </w:trPr>
        <w:tc>
          <w:tcPr>
            <w:tcW w:w="3595" w:type="dxa"/>
            <w:shd w:val="clear" w:color="auto" w:fill="8DB3E2" w:themeFill="text2" w:themeFillTint="66"/>
            <w:vAlign w:val="center"/>
          </w:tcPr>
          <w:p w14:paraId="2CFA2CE8" w14:textId="77777777" w:rsidR="006F54CA" w:rsidRPr="000F02EC" w:rsidDel="000F02EC" w:rsidRDefault="006F54CA" w:rsidP="00043CD5">
            <w:pPr>
              <w:pBdr>
                <w:top w:val="nil"/>
                <w:left w:val="nil"/>
                <w:bottom w:val="nil"/>
                <w:right w:val="nil"/>
                <w:between w:val="nil"/>
              </w:pBdr>
              <w:jc w:val="center"/>
              <w:rPr>
                <w:b/>
                <w:color w:val="000000"/>
                <w:sz w:val="22"/>
                <w:szCs w:val="18"/>
              </w:rPr>
            </w:pPr>
            <w:r>
              <w:rPr>
                <w:b/>
                <w:color w:val="000000"/>
                <w:sz w:val="22"/>
                <w:szCs w:val="18"/>
              </w:rPr>
              <w:t>Evidence of Considerations Used to Determine Eligibility</w:t>
            </w:r>
          </w:p>
        </w:tc>
        <w:tc>
          <w:tcPr>
            <w:tcW w:w="432" w:type="dxa"/>
            <w:shd w:val="clear" w:color="auto" w:fill="8DB3E2" w:themeFill="text2" w:themeFillTint="66"/>
            <w:vAlign w:val="center"/>
          </w:tcPr>
          <w:p w14:paraId="649841BE" w14:textId="77777777" w:rsidR="006F54CA" w:rsidRPr="00043CD5" w:rsidRDefault="006F54CA" w:rsidP="006F54CA">
            <w:pPr>
              <w:pBdr>
                <w:top w:val="nil"/>
                <w:left w:val="nil"/>
                <w:bottom w:val="nil"/>
                <w:right w:val="nil"/>
                <w:between w:val="nil"/>
              </w:pBdr>
              <w:jc w:val="center"/>
              <w:rPr>
                <w:b/>
                <w:color w:val="000000"/>
                <w:sz w:val="22"/>
                <w:szCs w:val="18"/>
              </w:rPr>
            </w:pPr>
            <w:r>
              <w:rPr>
                <w:b/>
                <w:color w:val="000000"/>
                <w:sz w:val="22"/>
                <w:szCs w:val="18"/>
              </w:rPr>
              <w:t>1</w:t>
            </w:r>
          </w:p>
        </w:tc>
        <w:tc>
          <w:tcPr>
            <w:tcW w:w="432" w:type="dxa"/>
            <w:shd w:val="clear" w:color="auto" w:fill="8DB3E2" w:themeFill="text2" w:themeFillTint="66"/>
            <w:vAlign w:val="center"/>
          </w:tcPr>
          <w:p w14:paraId="18F999B5" w14:textId="77777777" w:rsidR="006F54CA" w:rsidRDefault="006F54CA" w:rsidP="006F54CA">
            <w:pPr>
              <w:pBdr>
                <w:top w:val="nil"/>
                <w:left w:val="nil"/>
                <w:bottom w:val="nil"/>
                <w:right w:val="nil"/>
                <w:between w:val="nil"/>
              </w:pBdr>
              <w:jc w:val="center"/>
              <w:rPr>
                <w:b/>
                <w:color w:val="000000"/>
                <w:sz w:val="22"/>
                <w:szCs w:val="18"/>
              </w:rPr>
            </w:pPr>
            <w:r>
              <w:rPr>
                <w:b/>
                <w:color w:val="000000"/>
                <w:sz w:val="22"/>
                <w:szCs w:val="18"/>
              </w:rPr>
              <w:t>2</w:t>
            </w:r>
          </w:p>
        </w:tc>
        <w:tc>
          <w:tcPr>
            <w:tcW w:w="432" w:type="dxa"/>
            <w:shd w:val="clear" w:color="auto" w:fill="8DB3E2" w:themeFill="text2" w:themeFillTint="66"/>
            <w:vAlign w:val="center"/>
          </w:tcPr>
          <w:p w14:paraId="5FCD5EC4" w14:textId="77777777" w:rsidR="006F54CA" w:rsidRDefault="006F54CA" w:rsidP="006F54CA">
            <w:pPr>
              <w:pBdr>
                <w:top w:val="nil"/>
                <w:left w:val="nil"/>
                <w:bottom w:val="nil"/>
                <w:right w:val="nil"/>
                <w:between w:val="nil"/>
              </w:pBdr>
              <w:jc w:val="center"/>
              <w:rPr>
                <w:b/>
                <w:color w:val="000000"/>
                <w:sz w:val="22"/>
                <w:szCs w:val="18"/>
              </w:rPr>
            </w:pPr>
            <w:r>
              <w:rPr>
                <w:b/>
                <w:color w:val="000000"/>
                <w:sz w:val="22"/>
                <w:szCs w:val="18"/>
              </w:rPr>
              <w:t>3</w:t>
            </w:r>
          </w:p>
        </w:tc>
        <w:tc>
          <w:tcPr>
            <w:tcW w:w="432" w:type="dxa"/>
            <w:shd w:val="clear" w:color="auto" w:fill="8DB3E2" w:themeFill="text2" w:themeFillTint="66"/>
            <w:vAlign w:val="center"/>
          </w:tcPr>
          <w:p w14:paraId="2598DEE6" w14:textId="77777777" w:rsidR="006F54CA" w:rsidRPr="00043CD5" w:rsidRDefault="006F54CA" w:rsidP="006F54CA">
            <w:pPr>
              <w:pBdr>
                <w:top w:val="nil"/>
                <w:left w:val="nil"/>
                <w:bottom w:val="nil"/>
                <w:right w:val="nil"/>
                <w:between w:val="nil"/>
              </w:pBdr>
              <w:jc w:val="center"/>
              <w:rPr>
                <w:b/>
                <w:color w:val="000000"/>
                <w:sz w:val="22"/>
                <w:szCs w:val="18"/>
              </w:rPr>
            </w:pPr>
            <w:r>
              <w:rPr>
                <w:b/>
                <w:color w:val="000000"/>
                <w:sz w:val="22"/>
                <w:szCs w:val="18"/>
              </w:rPr>
              <w:t>4</w:t>
            </w:r>
          </w:p>
        </w:tc>
        <w:tc>
          <w:tcPr>
            <w:tcW w:w="432" w:type="dxa"/>
            <w:shd w:val="clear" w:color="auto" w:fill="8DB3E2" w:themeFill="text2" w:themeFillTint="66"/>
            <w:vAlign w:val="center"/>
          </w:tcPr>
          <w:p w14:paraId="78941E47" w14:textId="77777777" w:rsidR="006F54CA" w:rsidRPr="00043CD5" w:rsidRDefault="006F54CA" w:rsidP="006F54CA">
            <w:pPr>
              <w:pBdr>
                <w:top w:val="nil"/>
                <w:left w:val="nil"/>
                <w:bottom w:val="nil"/>
                <w:right w:val="nil"/>
                <w:between w:val="nil"/>
              </w:pBdr>
              <w:jc w:val="center"/>
              <w:rPr>
                <w:b/>
                <w:color w:val="000000"/>
                <w:sz w:val="22"/>
                <w:szCs w:val="18"/>
              </w:rPr>
            </w:pPr>
            <w:r>
              <w:rPr>
                <w:b/>
                <w:color w:val="000000"/>
                <w:sz w:val="22"/>
                <w:szCs w:val="18"/>
              </w:rPr>
              <w:t>5</w:t>
            </w:r>
          </w:p>
        </w:tc>
        <w:tc>
          <w:tcPr>
            <w:tcW w:w="5130" w:type="dxa"/>
            <w:shd w:val="clear" w:color="auto" w:fill="8DB3E2" w:themeFill="text2" w:themeFillTint="66"/>
            <w:vAlign w:val="center"/>
          </w:tcPr>
          <w:p w14:paraId="759D8B06" w14:textId="4E517B53" w:rsidR="006F54CA" w:rsidRPr="000F02EC" w:rsidRDefault="5EB5728B" w:rsidP="5EB5728B">
            <w:pPr>
              <w:pBdr>
                <w:top w:val="nil"/>
                <w:left w:val="nil"/>
                <w:bottom w:val="nil"/>
                <w:right w:val="nil"/>
                <w:between w:val="nil"/>
              </w:pBdr>
              <w:jc w:val="center"/>
              <w:rPr>
                <w:b/>
                <w:bCs/>
                <w:color w:val="000000" w:themeColor="text1"/>
                <w:sz w:val="22"/>
                <w:szCs w:val="22"/>
              </w:rPr>
            </w:pPr>
            <w:r w:rsidRPr="5EB5728B">
              <w:rPr>
                <w:b/>
                <w:bCs/>
                <w:color w:val="000000" w:themeColor="text1"/>
                <w:sz w:val="22"/>
                <w:szCs w:val="22"/>
              </w:rPr>
              <w:t>Additional Considerations</w:t>
            </w:r>
          </w:p>
        </w:tc>
        <w:tc>
          <w:tcPr>
            <w:tcW w:w="2353" w:type="dxa"/>
            <w:shd w:val="clear" w:color="auto" w:fill="8DB3E2" w:themeFill="text2" w:themeFillTint="66"/>
            <w:vAlign w:val="center"/>
          </w:tcPr>
          <w:p w14:paraId="25546E3C" w14:textId="77777777" w:rsidR="006F54CA" w:rsidRPr="00043CD5" w:rsidRDefault="006F54CA" w:rsidP="00043CD5">
            <w:pPr>
              <w:pBdr>
                <w:top w:val="nil"/>
                <w:left w:val="nil"/>
                <w:bottom w:val="nil"/>
                <w:right w:val="nil"/>
                <w:between w:val="nil"/>
              </w:pBdr>
              <w:jc w:val="center"/>
              <w:rPr>
                <w:b/>
                <w:color w:val="000000"/>
                <w:sz w:val="22"/>
                <w:szCs w:val="18"/>
              </w:rPr>
            </w:pPr>
            <w:r w:rsidRPr="00043CD5">
              <w:rPr>
                <w:b/>
                <w:color w:val="000000"/>
                <w:sz w:val="22"/>
                <w:szCs w:val="18"/>
              </w:rPr>
              <w:t>Notes</w:t>
            </w:r>
          </w:p>
        </w:tc>
      </w:tr>
      <w:tr w:rsidR="001D3205" w:rsidRPr="000F02EC" w14:paraId="6C68DFE5" w14:textId="77777777" w:rsidTr="001B3847">
        <w:trPr>
          <w:trHeight w:val="1568"/>
        </w:trPr>
        <w:tc>
          <w:tcPr>
            <w:tcW w:w="3595" w:type="dxa"/>
            <w:vMerge w:val="restart"/>
            <w:shd w:val="clear" w:color="auto" w:fill="auto"/>
          </w:tcPr>
          <w:p w14:paraId="72AB414E" w14:textId="77777777" w:rsidR="001D3205" w:rsidRPr="005610DC" w:rsidRDefault="001D3205">
            <w:pPr>
              <w:numPr>
                <w:ilvl w:val="0"/>
                <w:numId w:val="4"/>
              </w:numPr>
              <w:pBdr>
                <w:top w:val="nil"/>
                <w:left w:val="nil"/>
                <w:bottom w:val="nil"/>
                <w:right w:val="nil"/>
                <w:between w:val="nil"/>
              </w:pBdr>
              <w:rPr>
                <w:color w:val="000000"/>
                <w:sz w:val="22"/>
                <w:szCs w:val="18"/>
              </w:rPr>
            </w:pPr>
            <w:r>
              <w:rPr>
                <w:b/>
                <w:color w:val="000000"/>
                <w:sz w:val="22"/>
                <w:szCs w:val="18"/>
              </w:rPr>
              <w:t>The</w:t>
            </w:r>
            <w:r w:rsidRPr="000F02EC">
              <w:rPr>
                <w:b/>
                <w:color w:val="000000"/>
                <w:sz w:val="22"/>
                <w:szCs w:val="18"/>
              </w:rPr>
              <w:t xml:space="preserve"> team complete</w:t>
            </w:r>
            <w:r>
              <w:rPr>
                <w:b/>
                <w:color w:val="000000"/>
                <w:sz w:val="22"/>
                <w:szCs w:val="18"/>
              </w:rPr>
              <w:t>d</w:t>
            </w:r>
            <w:r w:rsidRPr="000F02EC">
              <w:rPr>
                <w:b/>
                <w:color w:val="000000"/>
                <w:sz w:val="22"/>
                <w:szCs w:val="18"/>
              </w:rPr>
              <w:t xml:space="preserve"> all the evaluation procedures to help determine the pre</w:t>
            </w:r>
            <w:r>
              <w:rPr>
                <w:b/>
                <w:color w:val="000000"/>
                <w:sz w:val="22"/>
                <w:szCs w:val="18"/>
              </w:rPr>
              <w:t>sence of a significant* cognitive disability.</w:t>
            </w:r>
          </w:p>
          <w:p w14:paraId="6A05A809" w14:textId="77777777" w:rsidR="001D3205" w:rsidRPr="005610DC" w:rsidRDefault="001D3205" w:rsidP="005610DC">
            <w:pPr>
              <w:pBdr>
                <w:top w:val="nil"/>
                <w:left w:val="nil"/>
                <w:bottom w:val="nil"/>
                <w:right w:val="nil"/>
                <w:between w:val="nil"/>
              </w:pBdr>
              <w:ind w:left="360"/>
              <w:rPr>
                <w:color w:val="000000"/>
                <w:sz w:val="10"/>
                <w:szCs w:val="18"/>
              </w:rPr>
            </w:pPr>
          </w:p>
          <w:p w14:paraId="10438557" w14:textId="77777777" w:rsidR="001D3205" w:rsidRPr="000F02EC" w:rsidRDefault="001D3205" w:rsidP="008154BE">
            <w:pPr>
              <w:pBdr>
                <w:top w:val="nil"/>
                <w:left w:val="nil"/>
                <w:bottom w:val="nil"/>
                <w:right w:val="nil"/>
                <w:between w:val="nil"/>
              </w:pBdr>
              <w:ind w:left="360"/>
              <w:rPr>
                <w:color w:val="000000"/>
                <w:sz w:val="22"/>
                <w:szCs w:val="18"/>
              </w:rPr>
            </w:pPr>
            <w:r w:rsidRPr="008154BE">
              <w:rPr>
                <w:color w:val="000000"/>
                <w:sz w:val="22"/>
                <w:szCs w:val="18"/>
              </w:rPr>
              <w:t>(</w:t>
            </w:r>
            <w:r w:rsidRPr="000F02EC">
              <w:rPr>
                <w:color w:val="000000"/>
                <w:sz w:val="22"/>
                <w:szCs w:val="18"/>
              </w:rPr>
              <w:t>* “Significant” indicates that there is a high level of severity associated with the cognitive disability.</w:t>
            </w:r>
            <w:r>
              <w:rPr>
                <w:color w:val="000000"/>
                <w:sz w:val="22"/>
                <w:szCs w:val="18"/>
              </w:rPr>
              <w:t>)</w:t>
            </w:r>
          </w:p>
        </w:tc>
        <w:tc>
          <w:tcPr>
            <w:tcW w:w="432" w:type="dxa"/>
          </w:tcPr>
          <w:p w14:paraId="59303370"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293236DE"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066F9AB3"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028E7369"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0E27B00A" w14:textId="42ABF058" w:rsidR="001D3205" w:rsidRPr="000F02EC" w:rsidRDefault="001D3205" w:rsidP="00043CD5">
            <w:pPr>
              <w:pBdr>
                <w:top w:val="nil"/>
                <w:left w:val="nil"/>
                <w:bottom w:val="nil"/>
                <w:right w:val="nil"/>
                <w:between w:val="nil"/>
              </w:pBdr>
              <w:rPr>
                <w:color w:val="000000"/>
                <w:sz w:val="22"/>
                <w:szCs w:val="18"/>
              </w:rPr>
            </w:pPr>
          </w:p>
        </w:tc>
        <w:tc>
          <w:tcPr>
            <w:tcW w:w="5130" w:type="dxa"/>
            <w:shd w:val="clear" w:color="auto" w:fill="auto"/>
          </w:tcPr>
          <w:p w14:paraId="7D544F1A" w14:textId="1D1F9795" w:rsidR="001D3205" w:rsidRPr="001D3205" w:rsidRDefault="001D3205" w:rsidP="001D3205">
            <w:pPr>
              <w:numPr>
                <w:ilvl w:val="0"/>
                <w:numId w:val="5"/>
              </w:numPr>
              <w:pBdr>
                <w:top w:val="nil"/>
                <w:left w:val="nil"/>
                <w:bottom w:val="nil"/>
                <w:right w:val="nil"/>
                <w:between w:val="nil"/>
              </w:pBdr>
              <w:ind w:left="419" w:hanging="419"/>
              <w:rPr>
                <w:color w:val="000000"/>
                <w:sz w:val="22"/>
                <w:szCs w:val="18"/>
              </w:rPr>
            </w:pPr>
            <w:r>
              <w:rPr>
                <w:color w:val="000000"/>
                <w:sz w:val="22"/>
                <w:szCs w:val="18"/>
              </w:rPr>
              <w:t xml:space="preserve">Evaluation included all </w:t>
            </w:r>
            <w:r w:rsidRPr="000F02EC">
              <w:rPr>
                <w:color w:val="000000"/>
                <w:sz w:val="22"/>
                <w:szCs w:val="18"/>
              </w:rPr>
              <w:t xml:space="preserve">relevant areas associated with a cognitive disability, </w:t>
            </w:r>
            <w:r>
              <w:rPr>
                <w:color w:val="000000"/>
                <w:sz w:val="22"/>
                <w:szCs w:val="18"/>
              </w:rPr>
              <w:t>following i</w:t>
            </w:r>
            <w:r w:rsidRPr="000F02EC">
              <w:rPr>
                <w:color w:val="000000"/>
                <w:sz w:val="22"/>
                <w:szCs w:val="18"/>
              </w:rPr>
              <w:t>ntellectual disability evaluation procedures (</w:t>
            </w:r>
            <w:hyperlink r:id="rId10">
              <w:r w:rsidRPr="000F02EC">
                <w:rPr>
                  <w:color w:val="0000FF"/>
                  <w:sz w:val="22"/>
                  <w:szCs w:val="18"/>
                  <w:u w:val="single"/>
                </w:rPr>
                <w:t>here</w:t>
              </w:r>
            </w:hyperlink>
            <w:r>
              <w:rPr>
                <w:color w:val="000000"/>
                <w:sz w:val="22"/>
                <w:szCs w:val="18"/>
              </w:rPr>
              <w:t xml:space="preserve">). </w:t>
            </w:r>
          </w:p>
        </w:tc>
        <w:tc>
          <w:tcPr>
            <w:tcW w:w="2353" w:type="dxa"/>
          </w:tcPr>
          <w:p w14:paraId="44EAFD9C" w14:textId="77777777" w:rsidR="001D3205" w:rsidRPr="000F02EC" w:rsidRDefault="001D3205" w:rsidP="00043CD5">
            <w:pPr>
              <w:pBdr>
                <w:top w:val="nil"/>
                <w:left w:val="nil"/>
                <w:bottom w:val="nil"/>
                <w:right w:val="nil"/>
                <w:between w:val="nil"/>
              </w:pBdr>
              <w:rPr>
                <w:color w:val="000000"/>
                <w:sz w:val="22"/>
                <w:szCs w:val="18"/>
              </w:rPr>
            </w:pPr>
          </w:p>
        </w:tc>
      </w:tr>
      <w:tr w:rsidR="001D3205" w:rsidRPr="000F02EC" w14:paraId="7B97962D" w14:textId="77777777" w:rsidTr="001B3847">
        <w:trPr>
          <w:trHeight w:val="1567"/>
        </w:trPr>
        <w:tc>
          <w:tcPr>
            <w:tcW w:w="3595" w:type="dxa"/>
            <w:vMerge/>
            <w:shd w:val="clear" w:color="auto" w:fill="auto"/>
          </w:tcPr>
          <w:p w14:paraId="3B17C1A3" w14:textId="77777777" w:rsidR="001D3205" w:rsidRDefault="001D3205">
            <w:pPr>
              <w:numPr>
                <w:ilvl w:val="0"/>
                <w:numId w:val="4"/>
              </w:numPr>
              <w:pBdr>
                <w:top w:val="nil"/>
                <w:left w:val="nil"/>
                <w:bottom w:val="nil"/>
                <w:right w:val="nil"/>
                <w:between w:val="nil"/>
              </w:pBdr>
              <w:rPr>
                <w:b/>
                <w:color w:val="000000"/>
                <w:sz w:val="22"/>
                <w:szCs w:val="18"/>
              </w:rPr>
            </w:pPr>
          </w:p>
        </w:tc>
        <w:tc>
          <w:tcPr>
            <w:tcW w:w="432" w:type="dxa"/>
          </w:tcPr>
          <w:p w14:paraId="22BB1D18"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7F57F0D7"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6BBF611D"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27FD7CDD"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196C549F" w14:textId="4D647A78" w:rsidR="001D3205" w:rsidRPr="000F02EC" w:rsidRDefault="001D3205" w:rsidP="00043CD5">
            <w:pPr>
              <w:pBdr>
                <w:top w:val="nil"/>
                <w:left w:val="nil"/>
                <w:bottom w:val="nil"/>
                <w:right w:val="nil"/>
                <w:between w:val="nil"/>
              </w:pBdr>
              <w:rPr>
                <w:color w:val="000000"/>
                <w:sz w:val="22"/>
                <w:szCs w:val="18"/>
              </w:rPr>
            </w:pPr>
          </w:p>
        </w:tc>
        <w:tc>
          <w:tcPr>
            <w:tcW w:w="5130" w:type="dxa"/>
            <w:shd w:val="clear" w:color="auto" w:fill="auto"/>
          </w:tcPr>
          <w:p w14:paraId="6BF71966" w14:textId="6006E2E7" w:rsidR="001D3205" w:rsidRDefault="001D3205" w:rsidP="00E1335F">
            <w:pPr>
              <w:numPr>
                <w:ilvl w:val="0"/>
                <w:numId w:val="5"/>
              </w:numPr>
              <w:pBdr>
                <w:top w:val="nil"/>
                <w:left w:val="nil"/>
                <w:bottom w:val="nil"/>
                <w:right w:val="nil"/>
                <w:between w:val="nil"/>
              </w:pBdr>
              <w:ind w:left="419" w:hanging="419"/>
              <w:rPr>
                <w:color w:val="000000"/>
                <w:sz w:val="22"/>
                <w:szCs w:val="18"/>
              </w:rPr>
            </w:pPr>
            <w:r>
              <w:rPr>
                <w:color w:val="000000"/>
                <w:sz w:val="22"/>
                <w:szCs w:val="18"/>
              </w:rPr>
              <w:t>The</w:t>
            </w:r>
            <w:r w:rsidRPr="000F02EC">
              <w:rPr>
                <w:color w:val="000000"/>
                <w:sz w:val="22"/>
                <w:szCs w:val="18"/>
              </w:rPr>
              <w:t xml:space="preserve"> Exclusionary Factors Worksheet </w:t>
            </w:r>
            <w:r>
              <w:rPr>
                <w:color w:val="000000"/>
                <w:sz w:val="22"/>
                <w:szCs w:val="18"/>
              </w:rPr>
              <w:t xml:space="preserve">was </w:t>
            </w:r>
            <w:r w:rsidRPr="000F02EC">
              <w:rPr>
                <w:color w:val="000000"/>
                <w:sz w:val="22"/>
                <w:szCs w:val="18"/>
              </w:rPr>
              <w:t xml:space="preserve">completed as part of the evaluation, or </w:t>
            </w:r>
            <w:r>
              <w:rPr>
                <w:color w:val="000000"/>
                <w:sz w:val="22"/>
                <w:szCs w:val="18"/>
              </w:rPr>
              <w:t>the</w:t>
            </w:r>
            <w:r w:rsidRPr="000F02EC">
              <w:rPr>
                <w:color w:val="000000"/>
                <w:sz w:val="22"/>
                <w:szCs w:val="18"/>
              </w:rPr>
              <w:t xml:space="preserve"> evaluator adequately</w:t>
            </w:r>
            <w:r>
              <w:rPr>
                <w:color w:val="000000"/>
                <w:sz w:val="22"/>
                <w:szCs w:val="18"/>
              </w:rPr>
              <w:t xml:space="preserve"> </w:t>
            </w:r>
            <w:r w:rsidRPr="000F02EC">
              <w:rPr>
                <w:color w:val="000000"/>
                <w:sz w:val="22"/>
                <w:szCs w:val="18"/>
              </w:rPr>
              <w:t>ad</w:t>
            </w:r>
            <w:r>
              <w:rPr>
                <w:color w:val="000000"/>
                <w:sz w:val="22"/>
                <w:szCs w:val="18"/>
              </w:rPr>
              <w:t xml:space="preserve">dressed each exclusionary factor. </w:t>
            </w:r>
            <w:r w:rsidRPr="000F02EC">
              <w:rPr>
                <w:color w:val="000000"/>
                <w:sz w:val="22"/>
                <w:szCs w:val="18"/>
              </w:rPr>
              <w:t xml:space="preserve">See Appendix J of the Intellectual </w:t>
            </w:r>
            <w:hyperlink r:id="rId11">
              <w:r w:rsidRPr="000F02EC">
                <w:rPr>
                  <w:color w:val="0000FF"/>
                  <w:sz w:val="22"/>
                  <w:szCs w:val="18"/>
                  <w:u w:val="single"/>
                </w:rPr>
                <w:t>Disability Evaluation Guidance Document</w:t>
              </w:r>
            </w:hyperlink>
            <w:r w:rsidRPr="000F02EC">
              <w:rPr>
                <w:color w:val="000000"/>
                <w:sz w:val="22"/>
                <w:szCs w:val="18"/>
              </w:rPr>
              <w:t>.</w:t>
            </w:r>
          </w:p>
        </w:tc>
        <w:tc>
          <w:tcPr>
            <w:tcW w:w="2353" w:type="dxa"/>
          </w:tcPr>
          <w:p w14:paraId="01963C65" w14:textId="77777777" w:rsidR="001D3205" w:rsidRPr="000F02EC" w:rsidRDefault="001D3205" w:rsidP="00043CD5">
            <w:pPr>
              <w:pBdr>
                <w:top w:val="nil"/>
                <w:left w:val="nil"/>
                <w:bottom w:val="nil"/>
                <w:right w:val="nil"/>
                <w:between w:val="nil"/>
              </w:pBdr>
              <w:rPr>
                <w:color w:val="000000"/>
                <w:sz w:val="22"/>
                <w:szCs w:val="18"/>
              </w:rPr>
            </w:pPr>
          </w:p>
        </w:tc>
      </w:tr>
      <w:tr w:rsidR="001D3205" w:rsidRPr="000F02EC" w14:paraId="7A1E9291" w14:textId="77777777" w:rsidTr="00515E23">
        <w:trPr>
          <w:trHeight w:val="2798"/>
        </w:trPr>
        <w:tc>
          <w:tcPr>
            <w:tcW w:w="3595" w:type="dxa"/>
            <w:vMerge w:val="restart"/>
            <w:shd w:val="clear" w:color="auto" w:fill="auto"/>
          </w:tcPr>
          <w:p w14:paraId="65ABE2BC" w14:textId="77777777" w:rsidR="001D3205" w:rsidRDefault="001D3205">
            <w:pPr>
              <w:numPr>
                <w:ilvl w:val="0"/>
                <w:numId w:val="4"/>
              </w:numPr>
              <w:pBdr>
                <w:top w:val="nil"/>
                <w:left w:val="nil"/>
                <w:bottom w:val="nil"/>
                <w:right w:val="nil"/>
                <w:between w:val="nil"/>
              </w:pBdr>
              <w:rPr>
                <w:b/>
                <w:color w:val="000000"/>
                <w:sz w:val="22"/>
                <w:szCs w:val="18"/>
              </w:rPr>
            </w:pPr>
            <w:r>
              <w:rPr>
                <w:b/>
                <w:color w:val="000000"/>
                <w:sz w:val="22"/>
                <w:szCs w:val="18"/>
              </w:rPr>
              <w:lastRenderedPageBreak/>
              <w:t>There is no</w:t>
            </w:r>
            <w:r w:rsidRPr="000F02EC">
              <w:rPr>
                <w:b/>
                <w:color w:val="000000"/>
                <w:sz w:val="22"/>
                <w:szCs w:val="18"/>
              </w:rPr>
              <w:t xml:space="preserve"> reason to </w:t>
            </w:r>
            <w:r>
              <w:rPr>
                <w:b/>
                <w:color w:val="000000"/>
                <w:sz w:val="22"/>
                <w:szCs w:val="18"/>
              </w:rPr>
              <w:t>suspect t</w:t>
            </w:r>
            <w:r w:rsidRPr="000F02EC">
              <w:rPr>
                <w:b/>
                <w:color w:val="000000"/>
                <w:sz w:val="22"/>
                <w:szCs w:val="18"/>
              </w:rPr>
              <w:t>hat the IQ score is lower than the student’s true ability</w:t>
            </w:r>
            <w:r>
              <w:rPr>
                <w:b/>
                <w:color w:val="000000"/>
                <w:sz w:val="22"/>
                <w:szCs w:val="18"/>
              </w:rPr>
              <w:t>.</w:t>
            </w:r>
            <w:r w:rsidRPr="000F02EC">
              <w:rPr>
                <w:b/>
                <w:color w:val="000000"/>
                <w:sz w:val="22"/>
                <w:szCs w:val="18"/>
              </w:rPr>
              <w:t xml:space="preserve"> </w:t>
            </w:r>
          </w:p>
          <w:p w14:paraId="4B94D5A5" w14:textId="77777777" w:rsidR="001D3205" w:rsidRDefault="001D3205" w:rsidP="00E1335F">
            <w:pPr>
              <w:pBdr>
                <w:top w:val="nil"/>
                <w:left w:val="nil"/>
                <w:bottom w:val="nil"/>
                <w:right w:val="nil"/>
                <w:between w:val="nil"/>
              </w:pBdr>
              <w:ind w:left="360"/>
              <w:rPr>
                <w:b/>
                <w:color w:val="000000"/>
                <w:sz w:val="22"/>
                <w:szCs w:val="18"/>
              </w:rPr>
            </w:pPr>
          </w:p>
          <w:p w14:paraId="422FD898" w14:textId="5EF8A0AC" w:rsidR="001D3205" w:rsidRPr="00E1335F" w:rsidRDefault="001D3205" w:rsidP="5EB5728B">
            <w:pPr>
              <w:pBdr>
                <w:top w:val="nil"/>
                <w:left w:val="nil"/>
                <w:bottom w:val="nil"/>
                <w:right w:val="nil"/>
                <w:between w:val="nil"/>
              </w:pBdr>
              <w:rPr>
                <w:b/>
                <w:bCs/>
                <w:color w:val="000000" w:themeColor="text1"/>
                <w:sz w:val="22"/>
                <w:szCs w:val="22"/>
              </w:rPr>
            </w:pPr>
            <w:r w:rsidRPr="5EB5728B">
              <w:rPr>
                <w:b/>
                <w:bCs/>
                <w:color w:val="000000" w:themeColor="text1"/>
                <w:sz w:val="22"/>
                <w:szCs w:val="22"/>
              </w:rPr>
              <w:t>For example:</w:t>
            </w:r>
          </w:p>
          <w:p w14:paraId="6F9E8281" w14:textId="346C1AE6" w:rsidR="001D3205" w:rsidRPr="000F02EC" w:rsidRDefault="001D3205" w:rsidP="5EB5728B">
            <w:pPr>
              <w:numPr>
                <w:ilvl w:val="0"/>
                <w:numId w:val="7"/>
              </w:numPr>
              <w:pBdr>
                <w:top w:val="nil"/>
                <w:left w:val="nil"/>
                <w:bottom w:val="nil"/>
                <w:right w:val="nil"/>
                <w:between w:val="nil"/>
              </w:pBdr>
              <w:rPr>
                <w:b/>
                <w:bCs/>
                <w:i/>
                <w:iCs/>
                <w:color w:val="000000" w:themeColor="text1"/>
                <w:sz w:val="22"/>
                <w:szCs w:val="22"/>
              </w:rPr>
            </w:pPr>
            <w:r w:rsidRPr="5EB5728B">
              <w:rPr>
                <w:b/>
                <w:bCs/>
                <w:i/>
                <w:iCs/>
                <w:color w:val="000000" w:themeColor="text1"/>
                <w:sz w:val="22"/>
                <w:szCs w:val="22"/>
              </w:rPr>
              <w:t>Communication or behaviors impacted testing performance.</w:t>
            </w:r>
          </w:p>
          <w:p w14:paraId="520DB9D2" w14:textId="77777777" w:rsidR="001D3205" w:rsidRPr="000F02EC" w:rsidRDefault="001D3205" w:rsidP="000F02EC">
            <w:pPr>
              <w:numPr>
                <w:ilvl w:val="0"/>
                <w:numId w:val="7"/>
              </w:numPr>
              <w:pBdr>
                <w:top w:val="nil"/>
                <w:left w:val="nil"/>
                <w:bottom w:val="nil"/>
                <w:right w:val="nil"/>
                <w:between w:val="nil"/>
              </w:pBdr>
              <w:rPr>
                <w:b/>
                <w:color w:val="000000"/>
                <w:sz w:val="22"/>
                <w:szCs w:val="18"/>
              </w:rPr>
            </w:pPr>
            <w:r w:rsidRPr="000F02EC">
              <w:rPr>
                <w:b/>
                <w:i/>
                <w:color w:val="000000"/>
                <w:sz w:val="22"/>
                <w:szCs w:val="18"/>
              </w:rPr>
              <w:t>Other areas of functioning indicate higher ability (e.g., improved language or academic achievement, a history of higher ability).</w:t>
            </w:r>
          </w:p>
        </w:tc>
        <w:tc>
          <w:tcPr>
            <w:tcW w:w="432" w:type="dxa"/>
          </w:tcPr>
          <w:p w14:paraId="0201A034" w14:textId="77777777" w:rsidR="001D3205" w:rsidRPr="000F02EC" w:rsidRDefault="001D3205" w:rsidP="00043CD5">
            <w:pPr>
              <w:pBdr>
                <w:top w:val="nil"/>
                <w:left w:val="nil"/>
                <w:bottom w:val="nil"/>
                <w:right w:val="nil"/>
                <w:between w:val="nil"/>
              </w:pBdr>
              <w:rPr>
                <w:color w:val="000000"/>
                <w:sz w:val="22"/>
                <w:szCs w:val="18"/>
              </w:rPr>
            </w:pPr>
            <w:r>
              <w:rPr>
                <w:color w:val="000000"/>
                <w:sz w:val="22"/>
                <w:szCs w:val="18"/>
              </w:rPr>
              <w:t xml:space="preserve"> </w:t>
            </w:r>
          </w:p>
        </w:tc>
        <w:tc>
          <w:tcPr>
            <w:tcW w:w="432" w:type="dxa"/>
          </w:tcPr>
          <w:p w14:paraId="136BA364"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2367E529"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63CF185B"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29D6B04F" w14:textId="2F30E659" w:rsidR="001D3205" w:rsidRPr="000F02EC" w:rsidRDefault="001D3205" w:rsidP="00043CD5">
            <w:pPr>
              <w:pBdr>
                <w:top w:val="nil"/>
                <w:left w:val="nil"/>
                <w:bottom w:val="nil"/>
                <w:right w:val="nil"/>
                <w:between w:val="nil"/>
              </w:pBdr>
              <w:rPr>
                <w:color w:val="000000"/>
                <w:sz w:val="22"/>
                <w:szCs w:val="18"/>
              </w:rPr>
            </w:pPr>
          </w:p>
        </w:tc>
        <w:tc>
          <w:tcPr>
            <w:tcW w:w="5130" w:type="dxa"/>
            <w:shd w:val="clear" w:color="auto" w:fill="auto"/>
          </w:tcPr>
          <w:p w14:paraId="1F85CFB1" w14:textId="7933A3C1" w:rsidR="001D3205" w:rsidRPr="000F02EC" w:rsidRDefault="001D3205" w:rsidP="00515E23">
            <w:pPr>
              <w:numPr>
                <w:ilvl w:val="0"/>
                <w:numId w:val="2"/>
              </w:numPr>
              <w:pBdr>
                <w:top w:val="nil"/>
                <w:left w:val="nil"/>
                <w:bottom w:val="nil"/>
                <w:right w:val="nil"/>
                <w:between w:val="nil"/>
              </w:pBdr>
              <w:rPr>
                <w:i/>
                <w:color w:val="000000"/>
                <w:sz w:val="22"/>
                <w:szCs w:val="18"/>
              </w:rPr>
            </w:pPr>
            <w:r w:rsidRPr="000F02EC">
              <w:rPr>
                <w:color w:val="000000"/>
                <w:sz w:val="22"/>
                <w:szCs w:val="22"/>
              </w:rPr>
              <w:t xml:space="preserve">Review of all past evaluations completed. </w:t>
            </w:r>
            <w:r>
              <w:rPr>
                <w:color w:val="000000"/>
                <w:sz w:val="22"/>
                <w:szCs w:val="22"/>
              </w:rPr>
              <w:t>The evaluator addressed differences in any assessment results and none of the differences reflected higher abilities than the student’s current IQ score/test performance. (</w:t>
            </w:r>
            <w:r w:rsidRPr="00F55113">
              <w:rPr>
                <w:i/>
                <w:iCs/>
                <w:color w:val="000000"/>
                <w:sz w:val="22"/>
                <w:szCs w:val="22"/>
              </w:rPr>
              <w:t>e.g., language, academics, and daily living skills possibly indicating higher levels of ability compared to cognitive assessment results).</w:t>
            </w:r>
          </w:p>
        </w:tc>
        <w:tc>
          <w:tcPr>
            <w:tcW w:w="2353" w:type="dxa"/>
          </w:tcPr>
          <w:p w14:paraId="4101652C" w14:textId="77777777" w:rsidR="001D3205" w:rsidRPr="000F02EC" w:rsidRDefault="001D3205" w:rsidP="00043CD5">
            <w:pPr>
              <w:pBdr>
                <w:top w:val="nil"/>
                <w:left w:val="nil"/>
                <w:bottom w:val="nil"/>
                <w:right w:val="nil"/>
                <w:between w:val="nil"/>
              </w:pBdr>
              <w:rPr>
                <w:color w:val="000000"/>
                <w:sz w:val="22"/>
                <w:szCs w:val="18"/>
              </w:rPr>
            </w:pPr>
          </w:p>
        </w:tc>
      </w:tr>
      <w:tr w:rsidR="001D3205" w:rsidRPr="000F02EC" w14:paraId="50100F8B" w14:textId="77777777" w:rsidTr="00515E23">
        <w:trPr>
          <w:trHeight w:val="1970"/>
        </w:trPr>
        <w:tc>
          <w:tcPr>
            <w:tcW w:w="3595" w:type="dxa"/>
            <w:vMerge/>
            <w:shd w:val="clear" w:color="auto" w:fill="auto"/>
          </w:tcPr>
          <w:p w14:paraId="144FD303" w14:textId="77777777" w:rsidR="001D3205" w:rsidRDefault="001D3205">
            <w:pPr>
              <w:numPr>
                <w:ilvl w:val="0"/>
                <w:numId w:val="4"/>
              </w:numPr>
              <w:pBdr>
                <w:top w:val="nil"/>
                <w:left w:val="nil"/>
                <w:bottom w:val="nil"/>
                <w:right w:val="nil"/>
                <w:between w:val="nil"/>
              </w:pBdr>
              <w:rPr>
                <w:b/>
                <w:color w:val="000000"/>
                <w:sz w:val="22"/>
                <w:szCs w:val="18"/>
              </w:rPr>
            </w:pPr>
          </w:p>
        </w:tc>
        <w:tc>
          <w:tcPr>
            <w:tcW w:w="432" w:type="dxa"/>
          </w:tcPr>
          <w:p w14:paraId="06CB05A4" w14:textId="77777777" w:rsidR="001D3205" w:rsidRDefault="001D3205" w:rsidP="00043CD5">
            <w:pPr>
              <w:pBdr>
                <w:top w:val="nil"/>
                <w:left w:val="nil"/>
                <w:bottom w:val="nil"/>
                <w:right w:val="nil"/>
                <w:between w:val="nil"/>
              </w:pBdr>
              <w:rPr>
                <w:color w:val="000000"/>
                <w:sz w:val="22"/>
                <w:szCs w:val="18"/>
              </w:rPr>
            </w:pPr>
          </w:p>
        </w:tc>
        <w:tc>
          <w:tcPr>
            <w:tcW w:w="432" w:type="dxa"/>
          </w:tcPr>
          <w:p w14:paraId="35A40D1E" w14:textId="77777777" w:rsidR="001D3205" w:rsidRDefault="001D3205" w:rsidP="00043CD5">
            <w:pPr>
              <w:pBdr>
                <w:top w:val="nil"/>
                <w:left w:val="nil"/>
                <w:bottom w:val="nil"/>
                <w:right w:val="nil"/>
                <w:between w:val="nil"/>
              </w:pBdr>
              <w:rPr>
                <w:color w:val="000000"/>
                <w:sz w:val="22"/>
                <w:szCs w:val="18"/>
              </w:rPr>
            </w:pPr>
          </w:p>
        </w:tc>
        <w:tc>
          <w:tcPr>
            <w:tcW w:w="432" w:type="dxa"/>
          </w:tcPr>
          <w:p w14:paraId="7197F5A3" w14:textId="77777777" w:rsidR="001D3205" w:rsidRDefault="001D3205" w:rsidP="00043CD5">
            <w:pPr>
              <w:pBdr>
                <w:top w:val="nil"/>
                <w:left w:val="nil"/>
                <w:bottom w:val="nil"/>
                <w:right w:val="nil"/>
                <w:between w:val="nil"/>
              </w:pBdr>
              <w:rPr>
                <w:color w:val="000000"/>
                <w:sz w:val="22"/>
                <w:szCs w:val="18"/>
              </w:rPr>
            </w:pPr>
          </w:p>
        </w:tc>
        <w:tc>
          <w:tcPr>
            <w:tcW w:w="432" w:type="dxa"/>
          </w:tcPr>
          <w:p w14:paraId="6DB761D4" w14:textId="77777777" w:rsidR="001D3205" w:rsidRDefault="001D3205" w:rsidP="00043CD5">
            <w:pPr>
              <w:pBdr>
                <w:top w:val="nil"/>
                <w:left w:val="nil"/>
                <w:bottom w:val="nil"/>
                <w:right w:val="nil"/>
                <w:between w:val="nil"/>
              </w:pBdr>
              <w:rPr>
                <w:color w:val="000000"/>
                <w:sz w:val="22"/>
                <w:szCs w:val="18"/>
              </w:rPr>
            </w:pPr>
          </w:p>
        </w:tc>
        <w:tc>
          <w:tcPr>
            <w:tcW w:w="432" w:type="dxa"/>
          </w:tcPr>
          <w:p w14:paraId="555ED090" w14:textId="560B33B2" w:rsidR="001D3205" w:rsidRDefault="001D3205" w:rsidP="00043CD5">
            <w:pPr>
              <w:pBdr>
                <w:top w:val="nil"/>
                <w:left w:val="nil"/>
                <w:bottom w:val="nil"/>
                <w:right w:val="nil"/>
                <w:between w:val="nil"/>
              </w:pBdr>
              <w:rPr>
                <w:color w:val="000000"/>
                <w:sz w:val="22"/>
                <w:szCs w:val="18"/>
              </w:rPr>
            </w:pPr>
          </w:p>
        </w:tc>
        <w:tc>
          <w:tcPr>
            <w:tcW w:w="5130" w:type="dxa"/>
            <w:shd w:val="clear" w:color="auto" w:fill="auto"/>
          </w:tcPr>
          <w:p w14:paraId="3174002D" w14:textId="0C0583AC" w:rsidR="001D3205" w:rsidRPr="001D3205" w:rsidRDefault="001D3205" w:rsidP="001D3205">
            <w:pPr>
              <w:numPr>
                <w:ilvl w:val="0"/>
                <w:numId w:val="2"/>
              </w:numPr>
              <w:pBdr>
                <w:top w:val="nil"/>
                <w:left w:val="nil"/>
                <w:bottom w:val="nil"/>
                <w:right w:val="nil"/>
                <w:between w:val="nil"/>
              </w:pBdr>
              <w:rPr>
                <w:color w:val="000000"/>
                <w:sz w:val="22"/>
                <w:szCs w:val="18"/>
              </w:rPr>
            </w:pPr>
            <w:r>
              <w:rPr>
                <w:color w:val="000000"/>
                <w:sz w:val="22"/>
                <w:szCs w:val="18"/>
              </w:rPr>
              <w:t>The</w:t>
            </w:r>
            <w:r w:rsidRPr="000F02EC">
              <w:rPr>
                <w:color w:val="000000"/>
                <w:sz w:val="22"/>
                <w:szCs w:val="18"/>
              </w:rPr>
              <w:t xml:space="preserve"> team complete</w:t>
            </w:r>
            <w:r>
              <w:rPr>
                <w:color w:val="000000"/>
                <w:sz w:val="22"/>
                <w:szCs w:val="18"/>
              </w:rPr>
              <w:t>d</w:t>
            </w:r>
            <w:r w:rsidRPr="000F02EC">
              <w:rPr>
                <w:color w:val="000000"/>
                <w:sz w:val="22"/>
                <w:szCs w:val="18"/>
              </w:rPr>
              <w:t xml:space="preserve"> the Tennessee assessment instrument selection form or provide</w:t>
            </w:r>
            <w:r>
              <w:rPr>
                <w:color w:val="000000"/>
                <w:sz w:val="22"/>
                <w:szCs w:val="18"/>
              </w:rPr>
              <w:t xml:space="preserve">d </w:t>
            </w:r>
            <w:r w:rsidRPr="000F02EC">
              <w:rPr>
                <w:color w:val="000000"/>
                <w:sz w:val="22"/>
                <w:szCs w:val="18"/>
              </w:rPr>
              <w:t xml:space="preserve">other documentation of how assessments were chosen based on the unique needs of the student </w:t>
            </w:r>
            <w:proofErr w:type="gramStart"/>
            <w:r w:rsidRPr="000F02EC">
              <w:rPr>
                <w:color w:val="000000"/>
                <w:sz w:val="22"/>
                <w:szCs w:val="18"/>
              </w:rPr>
              <w:t>in order to</w:t>
            </w:r>
            <w:proofErr w:type="gramEnd"/>
            <w:r w:rsidRPr="000F02EC">
              <w:rPr>
                <w:color w:val="000000"/>
                <w:sz w:val="22"/>
                <w:szCs w:val="18"/>
              </w:rPr>
              <w:t xml:space="preserve"> obtain the most valid estimate of ability</w:t>
            </w:r>
            <w:r>
              <w:rPr>
                <w:color w:val="000000"/>
                <w:sz w:val="22"/>
                <w:szCs w:val="18"/>
              </w:rPr>
              <w:t>.</w:t>
            </w:r>
            <w:r w:rsidRPr="000F02EC">
              <w:rPr>
                <w:color w:val="000000"/>
                <w:sz w:val="22"/>
                <w:szCs w:val="18"/>
              </w:rPr>
              <w:t xml:space="preserve"> </w:t>
            </w:r>
          </w:p>
        </w:tc>
        <w:tc>
          <w:tcPr>
            <w:tcW w:w="2353" w:type="dxa"/>
          </w:tcPr>
          <w:p w14:paraId="4A378C59" w14:textId="77777777" w:rsidR="001D3205" w:rsidRPr="000F02EC" w:rsidRDefault="001D3205" w:rsidP="00043CD5">
            <w:pPr>
              <w:pBdr>
                <w:top w:val="nil"/>
                <w:left w:val="nil"/>
                <w:bottom w:val="nil"/>
                <w:right w:val="nil"/>
                <w:between w:val="nil"/>
              </w:pBdr>
              <w:rPr>
                <w:color w:val="000000"/>
                <w:sz w:val="22"/>
                <w:szCs w:val="18"/>
              </w:rPr>
            </w:pPr>
          </w:p>
        </w:tc>
      </w:tr>
      <w:tr w:rsidR="00515E23" w:rsidRPr="000F02EC" w14:paraId="71094C87" w14:textId="77777777" w:rsidTr="00A268A9">
        <w:trPr>
          <w:trHeight w:val="2710"/>
        </w:trPr>
        <w:tc>
          <w:tcPr>
            <w:tcW w:w="3595" w:type="dxa"/>
            <w:vMerge/>
            <w:shd w:val="clear" w:color="auto" w:fill="auto"/>
          </w:tcPr>
          <w:p w14:paraId="13311FD7" w14:textId="77777777" w:rsidR="00515E23" w:rsidRDefault="00515E23">
            <w:pPr>
              <w:numPr>
                <w:ilvl w:val="0"/>
                <w:numId w:val="4"/>
              </w:numPr>
              <w:pBdr>
                <w:top w:val="nil"/>
                <w:left w:val="nil"/>
                <w:bottom w:val="nil"/>
                <w:right w:val="nil"/>
                <w:between w:val="nil"/>
              </w:pBdr>
              <w:rPr>
                <w:b/>
                <w:color w:val="000000"/>
                <w:sz w:val="22"/>
                <w:szCs w:val="18"/>
              </w:rPr>
            </w:pPr>
          </w:p>
        </w:tc>
        <w:tc>
          <w:tcPr>
            <w:tcW w:w="2160" w:type="dxa"/>
            <w:gridSpan w:val="5"/>
          </w:tcPr>
          <w:p w14:paraId="5E9F3480" w14:textId="771A706A" w:rsidR="00515E23" w:rsidRDefault="00515E23" w:rsidP="00043CD5">
            <w:pPr>
              <w:pBdr>
                <w:top w:val="nil"/>
                <w:left w:val="nil"/>
                <w:bottom w:val="nil"/>
                <w:right w:val="nil"/>
                <w:between w:val="nil"/>
              </w:pBdr>
              <w:rPr>
                <w:color w:val="000000"/>
                <w:sz w:val="22"/>
                <w:szCs w:val="18"/>
              </w:rPr>
            </w:pPr>
          </w:p>
        </w:tc>
        <w:tc>
          <w:tcPr>
            <w:tcW w:w="5130" w:type="dxa"/>
            <w:shd w:val="clear" w:color="auto" w:fill="auto"/>
          </w:tcPr>
          <w:p w14:paraId="4A992138" w14:textId="77777777" w:rsidR="00515E23" w:rsidRPr="000F02EC" w:rsidRDefault="00515E23" w:rsidP="001D3205">
            <w:pPr>
              <w:numPr>
                <w:ilvl w:val="0"/>
                <w:numId w:val="2"/>
              </w:numPr>
              <w:pBdr>
                <w:top w:val="nil"/>
                <w:left w:val="nil"/>
                <w:bottom w:val="nil"/>
                <w:right w:val="nil"/>
                <w:between w:val="nil"/>
              </w:pBdr>
              <w:rPr>
                <w:color w:val="000000"/>
                <w:sz w:val="22"/>
                <w:szCs w:val="18"/>
              </w:rPr>
            </w:pPr>
            <w:r w:rsidRPr="000F02EC">
              <w:rPr>
                <w:color w:val="000000"/>
                <w:sz w:val="22"/>
                <w:szCs w:val="18"/>
              </w:rPr>
              <w:t>Based on the evaluation results, factors that may have negatively impacted test performance</w:t>
            </w:r>
            <w:r>
              <w:rPr>
                <w:color w:val="000000"/>
                <w:sz w:val="22"/>
                <w:szCs w:val="18"/>
              </w:rPr>
              <w:t xml:space="preserve"> were</w:t>
            </w:r>
            <w:r w:rsidRPr="000F02EC">
              <w:rPr>
                <w:color w:val="000000"/>
                <w:sz w:val="22"/>
                <w:szCs w:val="18"/>
              </w:rPr>
              <w:t xml:space="preserve"> considered </w:t>
            </w:r>
            <w:r w:rsidRPr="005610DC">
              <w:rPr>
                <w:i/>
                <w:color w:val="000000"/>
                <w:sz w:val="22"/>
                <w:szCs w:val="18"/>
              </w:rPr>
              <w:t>(e.g., influence of langu</w:t>
            </w:r>
            <w:r>
              <w:rPr>
                <w:i/>
                <w:color w:val="000000"/>
                <w:sz w:val="22"/>
                <w:szCs w:val="18"/>
              </w:rPr>
              <w:t>age, behavior, or motor delays)</w:t>
            </w:r>
          </w:p>
          <w:p w14:paraId="1CADF196" w14:textId="6F9C42F9" w:rsidR="00515E23" w:rsidRPr="000F02EC" w:rsidRDefault="00515E23" w:rsidP="00515E23">
            <w:pPr>
              <w:pBdr>
                <w:top w:val="nil"/>
                <w:left w:val="nil"/>
                <w:bottom w:val="nil"/>
                <w:right w:val="nil"/>
                <w:between w:val="nil"/>
              </w:pBdr>
              <w:ind w:left="360"/>
              <w:rPr>
                <w:color w:val="000000"/>
                <w:sz w:val="22"/>
                <w:szCs w:val="22"/>
              </w:rPr>
            </w:pPr>
            <w:r>
              <w:rPr>
                <w:i/>
                <w:color w:val="000000"/>
                <w:sz w:val="22"/>
                <w:szCs w:val="18"/>
              </w:rPr>
              <w:t xml:space="preserve">Example: </w:t>
            </w:r>
            <w:r w:rsidRPr="000F02EC">
              <w:rPr>
                <w:i/>
                <w:color w:val="000000"/>
                <w:sz w:val="22"/>
                <w:szCs w:val="18"/>
              </w:rPr>
              <w:t xml:space="preserve">If language may </w:t>
            </w:r>
            <w:r>
              <w:rPr>
                <w:i/>
                <w:color w:val="000000"/>
                <w:sz w:val="22"/>
                <w:szCs w:val="18"/>
              </w:rPr>
              <w:t xml:space="preserve">impact </w:t>
            </w:r>
            <w:r w:rsidRPr="000F02EC">
              <w:rPr>
                <w:i/>
                <w:color w:val="000000"/>
                <w:sz w:val="22"/>
                <w:szCs w:val="18"/>
              </w:rPr>
              <w:t xml:space="preserve">testing, a nonverbal cognitive assessment (e.g., UNIT-2, WNV, CTONI, TONI, and Leiter) </w:t>
            </w:r>
            <w:r>
              <w:rPr>
                <w:i/>
                <w:color w:val="000000"/>
                <w:sz w:val="22"/>
                <w:szCs w:val="18"/>
              </w:rPr>
              <w:t xml:space="preserve">was </w:t>
            </w:r>
            <w:r w:rsidRPr="000F02EC">
              <w:rPr>
                <w:i/>
                <w:color w:val="000000"/>
                <w:sz w:val="22"/>
                <w:szCs w:val="18"/>
              </w:rPr>
              <w:t>administered to rule out t</w:t>
            </w:r>
            <w:r>
              <w:rPr>
                <w:i/>
                <w:color w:val="000000"/>
                <w:sz w:val="22"/>
                <w:szCs w:val="18"/>
              </w:rPr>
              <w:t>he impact of language deficits.</w:t>
            </w:r>
          </w:p>
        </w:tc>
        <w:tc>
          <w:tcPr>
            <w:tcW w:w="2353" w:type="dxa"/>
          </w:tcPr>
          <w:p w14:paraId="5819CE39" w14:textId="77777777" w:rsidR="00515E23" w:rsidRPr="000F02EC" w:rsidRDefault="00515E23" w:rsidP="00043CD5">
            <w:pPr>
              <w:pBdr>
                <w:top w:val="nil"/>
                <w:left w:val="nil"/>
                <w:bottom w:val="nil"/>
                <w:right w:val="nil"/>
                <w:between w:val="nil"/>
              </w:pBdr>
              <w:rPr>
                <w:color w:val="000000"/>
                <w:sz w:val="22"/>
                <w:szCs w:val="18"/>
              </w:rPr>
            </w:pPr>
          </w:p>
        </w:tc>
      </w:tr>
      <w:tr w:rsidR="001D3205" w:rsidRPr="000F02EC" w14:paraId="3F155752" w14:textId="77777777" w:rsidTr="00167407">
        <w:trPr>
          <w:trHeight w:val="1185"/>
        </w:trPr>
        <w:tc>
          <w:tcPr>
            <w:tcW w:w="3595" w:type="dxa"/>
            <w:vMerge w:val="restart"/>
            <w:shd w:val="clear" w:color="auto" w:fill="auto"/>
          </w:tcPr>
          <w:p w14:paraId="7C088AF4" w14:textId="4C803B34" w:rsidR="001D3205" w:rsidRPr="000F02EC" w:rsidRDefault="001D3205" w:rsidP="4A05B977">
            <w:pPr>
              <w:numPr>
                <w:ilvl w:val="0"/>
                <w:numId w:val="4"/>
              </w:numPr>
              <w:pBdr>
                <w:top w:val="nil"/>
                <w:left w:val="nil"/>
                <w:bottom w:val="nil"/>
                <w:right w:val="nil"/>
                <w:between w:val="nil"/>
              </w:pBdr>
              <w:rPr>
                <w:b/>
                <w:bCs/>
                <w:color w:val="000000" w:themeColor="text1"/>
                <w:sz w:val="22"/>
                <w:szCs w:val="22"/>
              </w:rPr>
            </w:pPr>
            <w:r w:rsidRPr="4A05B977">
              <w:rPr>
                <w:b/>
                <w:bCs/>
                <w:color w:val="000000" w:themeColor="text1"/>
                <w:sz w:val="22"/>
                <w:szCs w:val="22"/>
              </w:rPr>
              <w:lastRenderedPageBreak/>
              <w:t>The best estimate of the student’s cognitive ability represents a significant* cognitive disability.</w:t>
            </w:r>
          </w:p>
          <w:p w14:paraId="4B99056E" w14:textId="77777777" w:rsidR="001D3205" w:rsidRPr="000F02EC" w:rsidRDefault="001D3205">
            <w:pPr>
              <w:pBdr>
                <w:top w:val="nil"/>
                <w:left w:val="nil"/>
                <w:bottom w:val="nil"/>
                <w:right w:val="nil"/>
                <w:between w:val="nil"/>
              </w:pBdr>
              <w:ind w:left="360"/>
              <w:rPr>
                <w:b/>
                <w:color w:val="000000"/>
                <w:sz w:val="22"/>
                <w:szCs w:val="18"/>
              </w:rPr>
            </w:pPr>
          </w:p>
        </w:tc>
        <w:tc>
          <w:tcPr>
            <w:tcW w:w="432" w:type="dxa"/>
          </w:tcPr>
          <w:p w14:paraId="0F84BEBD"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72960F0C"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01CC2B5F"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10A89BE1"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0FB78278" w14:textId="0C901BBC" w:rsidR="001D3205" w:rsidRPr="000F02EC" w:rsidRDefault="001D3205" w:rsidP="00043CD5">
            <w:pPr>
              <w:pBdr>
                <w:top w:val="nil"/>
                <w:left w:val="nil"/>
                <w:bottom w:val="nil"/>
                <w:right w:val="nil"/>
                <w:between w:val="nil"/>
              </w:pBdr>
              <w:rPr>
                <w:color w:val="000000"/>
                <w:sz w:val="22"/>
                <w:szCs w:val="18"/>
              </w:rPr>
            </w:pPr>
          </w:p>
        </w:tc>
        <w:tc>
          <w:tcPr>
            <w:tcW w:w="5130" w:type="dxa"/>
            <w:shd w:val="clear" w:color="auto" w:fill="auto"/>
          </w:tcPr>
          <w:p w14:paraId="0562CB0E" w14:textId="58B9D36C" w:rsidR="001D3205" w:rsidRPr="001D3205" w:rsidRDefault="001D3205" w:rsidP="001D3205">
            <w:pPr>
              <w:numPr>
                <w:ilvl w:val="0"/>
                <w:numId w:val="3"/>
              </w:numPr>
              <w:pBdr>
                <w:top w:val="nil"/>
                <w:left w:val="nil"/>
                <w:bottom w:val="nil"/>
                <w:right w:val="nil"/>
                <w:between w:val="nil"/>
              </w:pBdr>
              <w:rPr>
                <w:color w:val="000000"/>
                <w:sz w:val="22"/>
                <w:szCs w:val="18"/>
              </w:rPr>
            </w:pPr>
            <w:r>
              <w:rPr>
                <w:color w:val="000000"/>
                <w:sz w:val="22"/>
                <w:szCs w:val="18"/>
              </w:rPr>
              <w:t xml:space="preserve">The </w:t>
            </w:r>
            <w:r w:rsidRPr="000F02EC">
              <w:rPr>
                <w:color w:val="000000"/>
                <w:sz w:val="22"/>
                <w:szCs w:val="18"/>
              </w:rPr>
              <w:t>best estimate of the student’s cognitive ability</w:t>
            </w:r>
            <w:r>
              <w:rPr>
                <w:color w:val="000000"/>
                <w:sz w:val="22"/>
                <w:szCs w:val="18"/>
              </w:rPr>
              <w:t xml:space="preserve"> took</w:t>
            </w:r>
            <w:r w:rsidRPr="000F02EC">
              <w:rPr>
                <w:color w:val="000000"/>
                <w:sz w:val="22"/>
                <w:szCs w:val="18"/>
              </w:rPr>
              <w:t xml:space="preserve"> into consideration other factors that may have impacted performance on the cognitive assessment</w:t>
            </w:r>
            <w:r>
              <w:rPr>
                <w:color w:val="000000"/>
                <w:sz w:val="22"/>
                <w:szCs w:val="18"/>
              </w:rPr>
              <w:t xml:space="preserve">. </w:t>
            </w:r>
            <w:r w:rsidRPr="000F02EC">
              <w:rPr>
                <w:color w:val="000000"/>
                <w:sz w:val="22"/>
                <w:szCs w:val="18"/>
              </w:rPr>
              <w:t xml:space="preserve"> </w:t>
            </w:r>
          </w:p>
        </w:tc>
        <w:tc>
          <w:tcPr>
            <w:tcW w:w="2353" w:type="dxa"/>
          </w:tcPr>
          <w:p w14:paraId="34CE0A41" w14:textId="77777777" w:rsidR="001D3205" w:rsidRPr="000F02EC" w:rsidRDefault="001D3205" w:rsidP="00043CD5">
            <w:pPr>
              <w:pBdr>
                <w:top w:val="nil"/>
                <w:left w:val="nil"/>
                <w:bottom w:val="nil"/>
                <w:right w:val="nil"/>
                <w:between w:val="nil"/>
              </w:pBdr>
              <w:rPr>
                <w:color w:val="000000"/>
                <w:sz w:val="22"/>
                <w:szCs w:val="18"/>
              </w:rPr>
            </w:pPr>
          </w:p>
        </w:tc>
      </w:tr>
      <w:tr w:rsidR="001D3205" w:rsidRPr="000F02EC" w14:paraId="5618EF74" w14:textId="77777777" w:rsidTr="00167407">
        <w:trPr>
          <w:trHeight w:val="1185"/>
        </w:trPr>
        <w:tc>
          <w:tcPr>
            <w:tcW w:w="3595" w:type="dxa"/>
            <w:vMerge/>
            <w:shd w:val="clear" w:color="auto" w:fill="auto"/>
          </w:tcPr>
          <w:p w14:paraId="1E65EC01" w14:textId="77777777" w:rsidR="001D3205" w:rsidRPr="4A05B977" w:rsidRDefault="001D3205" w:rsidP="4A05B977">
            <w:pPr>
              <w:numPr>
                <w:ilvl w:val="0"/>
                <w:numId w:val="4"/>
              </w:numPr>
              <w:pBdr>
                <w:top w:val="nil"/>
                <w:left w:val="nil"/>
                <w:bottom w:val="nil"/>
                <w:right w:val="nil"/>
                <w:between w:val="nil"/>
              </w:pBdr>
              <w:rPr>
                <w:b/>
                <w:bCs/>
                <w:color w:val="000000" w:themeColor="text1"/>
                <w:sz w:val="22"/>
                <w:szCs w:val="22"/>
              </w:rPr>
            </w:pPr>
          </w:p>
        </w:tc>
        <w:tc>
          <w:tcPr>
            <w:tcW w:w="432" w:type="dxa"/>
          </w:tcPr>
          <w:p w14:paraId="444539C2"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2EC5B399"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7187D28A"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02A4EFCC"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471BACFE" w14:textId="75F7F37F" w:rsidR="001D3205" w:rsidRPr="000F02EC" w:rsidRDefault="001D3205" w:rsidP="00043CD5">
            <w:pPr>
              <w:pBdr>
                <w:top w:val="nil"/>
                <w:left w:val="nil"/>
                <w:bottom w:val="nil"/>
                <w:right w:val="nil"/>
                <w:between w:val="nil"/>
              </w:pBdr>
              <w:rPr>
                <w:color w:val="000000"/>
                <w:sz w:val="22"/>
                <w:szCs w:val="18"/>
              </w:rPr>
            </w:pPr>
          </w:p>
        </w:tc>
        <w:tc>
          <w:tcPr>
            <w:tcW w:w="5130" w:type="dxa"/>
            <w:shd w:val="clear" w:color="auto" w:fill="auto"/>
          </w:tcPr>
          <w:p w14:paraId="0BC862D2" w14:textId="282EC4F3" w:rsidR="001D3205" w:rsidRDefault="001D3205" w:rsidP="001D3205">
            <w:pPr>
              <w:pStyle w:val="ListParagraph"/>
              <w:numPr>
                <w:ilvl w:val="0"/>
                <w:numId w:val="3"/>
              </w:numPr>
              <w:pBdr>
                <w:top w:val="nil"/>
                <w:left w:val="nil"/>
                <w:bottom w:val="nil"/>
                <w:right w:val="nil"/>
                <w:between w:val="nil"/>
              </w:pBdr>
              <w:rPr>
                <w:color w:val="000000"/>
                <w:sz w:val="22"/>
                <w:szCs w:val="18"/>
              </w:rPr>
            </w:pPr>
            <w:r w:rsidRPr="4A05B977">
              <w:rPr>
                <w:color w:val="000000" w:themeColor="text1"/>
                <w:sz w:val="22"/>
                <w:szCs w:val="22"/>
              </w:rPr>
              <w:t>There is evidence that the student demonstrates a significant cognitive disability.</w:t>
            </w:r>
          </w:p>
        </w:tc>
        <w:tc>
          <w:tcPr>
            <w:tcW w:w="2353" w:type="dxa"/>
          </w:tcPr>
          <w:p w14:paraId="2183BDE6" w14:textId="77777777" w:rsidR="001D3205" w:rsidRPr="000F02EC" w:rsidRDefault="001D3205" w:rsidP="00043CD5">
            <w:pPr>
              <w:pBdr>
                <w:top w:val="nil"/>
                <w:left w:val="nil"/>
                <w:bottom w:val="nil"/>
                <w:right w:val="nil"/>
                <w:between w:val="nil"/>
              </w:pBdr>
              <w:rPr>
                <w:color w:val="000000"/>
                <w:sz w:val="22"/>
                <w:szCs w:val="18"/>
              </w:rPr>
            </w:pPr>
          </w:p>
        </w:tc>
      </w:tr>
      <w:tr w:rsidR="001D3205" w:rsidRPr="000F02EC" w14:paraId="10B51ACF" w14:textId="77777777" w:rsidTr="00515E23">
        <w:trPr>
          <w:trHeight w:val="1025"/>
        </w:trPr>
        <w:tc>
          <w:tcPr>
            <w:tcW w:w="3595" w:type="dxa"/>
            <w:vMerge w:val="restart"/>
            <w:shd w:val="clear" w:color="auto" w:fill="auto"/>
          </w:tcPr>
          <w:p w14:paraId="4F4E6C6B" w14:textId="2FAB6955" w:rsidR="001D3205" w:rsidRPr="000F02EC" w:rsidRDefault="001D3205" w:rsidP="5EB5728B">
            <w:pPr>
              <w:numPr>
                <w:ilvl w:val="0"/>
                <w:numId w:val="4"/>
              </w:numPr>
              <w:pBdr>
                <w:top w:val="nil"/>
                <w:left w:val="nil"/>
                <w:bottom w:val="nil"/>
                <w:right w:val="nil"/>
                <w:between w:val="nil"/>
              </w:pBdr>
              <w:rPr>
                <w:b/>
                <w:bCs/>
                <w:color w:val="000000" w:themeColor="text1"/>
                <w:sz w:val="22"/>
                <w:szCs w:val="22"/>
              </w:rPr>
            </w:pPr>
            <w:r w:rsidRPr="5EB5728B">
              <w:rPr>
                <w:b/>
                <w:bCs/>
                <w:color w:val="000000" w:themeColor="text1"/>
                <w:sz w:val="22"/>
                <w:szCs w:val="22"/>
              </w:rPr>
              <w:t>The adaptive behavior scores are consistently, significantly low compared to same-aged peers for both parent and teacher raters.</w:t>
            </w:r>
          </w:p>
        </w:tc>
        <w:tc>
          <w:tcPr>
            <w:tcW w:w="432" w:type="dxa"/>
          </w:tcPr>
          <w:p w14:paraId="3B7B5A4F"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06445654"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06B08EE3"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3E66610C"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110FFD37" w14:textId="5547B86F" w:rsidR="001D3205" w:rsidRPr="000F02EC" w:rsidRDefault="001D3205" w:rsidP="00043CD5">
            <w:pPr>
              <w:pBdr>
                <w:top w:val="nil"/>
                <w:left w:val="nil"/>
                <w:bottom w:val="nil"/>
                <w:right w:val="nil"/>
                <w:between w:val="nil"/>
              </w:pBdr>
              <w:rPr>
                <w:color w:val="000000"/>
                <w:sz w:val="22"/>
                <w:szCs w:val="18"/>
              </w:rPr>
            </w:pPr>
          </w:p>
        </w:tc>
        <w:tc>
          <w:tcPr>
            <w:tcW w:w="5130" w:type="dxa"/>
            <w:shd w:val="clear" w:color="auto" w:fill="auto"/>
          </w:tcPr>
          <w:p w14:paraId="54568D22" w14:textId="6F73AA15" w:rsidR="001D3205" w:rsidRPr="001D3205" w:rsidRDefault="001D3205" w:rsidP="001D3205">
            <w:pPr>
              <w:numPr>
                <w:ilvl w:val="0"/>
                <w:numId w:val="9"/>
              </w:numPr>
              <w:pBdr>
                <w:top w:val="nil"/>
                <w:left w:val="nil"/>
                <w:bottom w:val="nil"/>
                <w:right w:val="nil"/>
                <w:between w:val="nil"/>
              </w:pBdr>
              <w:rPr>
                <w:color w:val="000000" w:themeColor="text1"/>
                <w:sz w:val="22"/>
                <w:szCs w:val="22"/>
              </w:rPr>
            </w:pPr>
            <w:r w:rsidRPr="4A05B977">
              <w:rPr>
                <w:color w:val="000000" w:themeColor="text1"/>
                <w:sz w:val="22"/>
                <w:szCs w:val="22"/>
              </w:rPr>
              <w:t>The adaptive measure addresses all three domains of adaptive behavior (i.e., conceptual, practical, and social domains).</w:t>
            </w:r>
          </w:p>
        </w:tc>
        <w:tc>
          <w:tcPr>
            <w:tcW w:w="2353" w:type="dxa"/>
          </w:tcPr>
          <w:p w14:paraId="1F72F646" w14:textId="77777777" w:rsidR="001D3205" w:rsidRPr="000F02EC" w:rsidRDefault="001D3205" w:rsidP="00043CD5">
            <w:pPr>
              <w:pBdr>
                <w:top w:val="nil"/>
                <w:left w:val="nil"/>
                <w:bottom w:val="nil"/>
                <w:right w:val="nil"/>
                <w:between w:val="nil"/>
              </w:pBdr>
              <w:rPr>
                <w:color w:val="000000"/>
                <w:sz w:val="22"/>
                <w:szCs w:val="18"/>
              </w:rPr>
            </w:pPr>
          </w:p>
        </w:tc>
      </w:tr>
      <w:tr w:rsidR="001D3205" w:rsidRPr="000F02EC" w14:paraId="5AF24238" w14:textId="77777777" w:rsidTr="005C46C3">
        <w:trPr>
          <w:trHeight w:val="1390"/>
        </w:trPr>
        <w:tc>
          <w:tcPr>
            <w:tcW w:w="3595" w:type="dxa"/>
            <w:vMerge/>
            <w:shd w:val="clear" w:color="auto" w:fill="auto"/>
          </w:tcPr>
          <w:p w14:paraId="7DA073B5" w14:textId="77777777" w:rsidR="001D3205" w:rsidRPr="5EB5728B" w:rsidRDefault="001D3205" w:rsidP="5EB5728B">
            <w:pPr>
              <w:numPr>
                <w:ilvl w:val="0"/>
                <w:numId w:val="4"/>
              </w:numPr>
              <w:pBdr>
                <w:top w:val="nil"/>
                <w:left w:val="nil"/>
                <w:bottom w:val="nil"/>
                <w:right w:val="nil"/>
                <w:between w:val="nil"/>
              </w:pBdr>
              <w:rPr>
                <w:b/>
                <w:bCs/>
                <w:color w:val="000000" w:themeColor="text1"/>
                <w:sz w:val="22"/>
                <w:szCs w:val="22"/>
              </w:rPr>
            </w:pPr>
          </w:p>
        </w:tc>
        <w:tc>
          <w:tcPr>
            <w:tcW w:w="432" w:type="dxa"/>
          </w:tcPr>
          <w:p w14:paraId="4A46F3D3"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1F04B959"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1347610E"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346301C5"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0F83D833" w14:textId="1AF1D361" w:rsidR="001D3205" w:rsidRPr="000F02EC" w:rsidRDefault="001D3205" w:rsidP="00043CD5">
            <w:pPr>
              <w:pBdr>
                <w:top w:val="nil"/>
                <w:left w:val="nil"/>
                <w:bottom w:val="nil"/>
                <w:right w:val="nil"/>
                <w:between w:val="nil"/>
              </w:pBdr>
              <w:rPr>
                <w:color w:val="000000"/>
                <w:sz w:val="22"/>
                <w:szCs w:val="18"/>
              </w:rPr>
            </w:pPr>
          </w:p>
        </w:tc>
        <w:tc>
          <w:tcPr>
            <w:tcW w:w="5130" w:type="dxa"/>
            <w:shd w:val="clear" w:color="auto" w:fill="auto"/>
          </w:tcPr>
          <w:p w14:paraId="5009D04D" w14:textId="1CF39C6A" w:rsidR="001D3205" w:rsidRPr="001D3205" w:rsidRDefault="001D3205" w:rsidP="001D3205">
            <w:pPr>
              <w:numPr>
                <w:ilvl w:val="0"/>
                <w:numId w:val="9"/>
              </w:numPr>
              <w:pBdr>
                <w:top w:val="nil"/>
                <w:left w:val="nil"/>
                <w:bottom w:val="nil"/>
                <w:right w:val="nil"/>
                <w:between w:val="nil"/>
              </w:pBdr>
              <w:rPr>
                <w:color w:val="000000" w:themeColor="text1"/>
                <w:sz w:val="22"/>
                <w:szCs w:val="22"/>
              </w:rPr>
            </w:pPr>
            <w:r w:rsidRPr="4A05B977">
              <w:rPr>
                <w:color w:val="000000" w:themeColor="text1"/>
                <w:sz w:val="22"/>
                <w:szCs w:val="22"/>
              </w:rPr>
              <w:t>If the adaptive behavior scores were inconsistent, the assessment specialists documented systemic observation indicating which scores were most consistent with the student’s adaptive behavior.</w:t>
            </w:r>
          </w:p>
        </w:tc>
        <w:tc>
          <w:tcPr>
            <w:tcW w:w="2353" w:type="dxa"/>
          </w:tcPr>
          <w:p w14:paraId="23890785" w14:textId="77777777" w:rsidR="001D3205" w:rsidRPr="000F02EC" w:rsidRDefault="001D3205" w:rsidP="00043CD5">
            <w:pPr>
              <w:pBdr>
                <w:top w:val="nil"/>
                <w:left w:val="nil"/>
                <w:bottom w:val="nil"/>
                <w:right w:val="nil"/>
                <w:between w:val="nil"/>
              </w:pBdr>
              <w:rPr>
                <w:color w:val="000000"/>
                <w:sz w:val="22"/>
                <w:szCs w:val="18"/>
              </w:rPr>
            </w:pPr>
          </w:p>
        </w:tc>
      </w:tr>
      <w:tr w:rsidR="001D3205" w:rsidRPr="000F02EC" w14:paraId="47AD4041" w14:textId="77777777" w:rsidTr="005C46C3">
        <w:trPr>
          <w:trHeight w:val="1390"/>
        </w:trPr>
        <w:tc>
          <w:tcPr>
            <w:tcW w:w="3595" w:type="dxa"/>
            <w:vMerge/>
            <w:shd w:val="clear" w:color="auto" w:fill="auto"/>
          </w:tcPr>
          <w:p w14:paraId="1AE3546F" w14:textId="77777777" w:rsidR="001D3205" w:rsidRPr="5EB5728B" w:rsidRDefault="001D3205" w:rsidP="5EB5728B">
            <w:pPr>
              <w:numPr>
                <w:ilvl w:val="0"/>
                <w:numId w:val="4"/>
              </w:numPr>
              <w:pBdr>
                <w:top w:val="nil"/>
                <w:left w:val="nil"/>
                <w:bottom w:val="nil"/>
                <w:right w:val="nil"/>
                <w:between w:val="nil"/>
              </w:pBdr>
              <w:rPr>
                <w:b/>
                <w:bCs/>
                <w:color w:val="000000" w:themeColor="text1"/>
                <w:sz w:val="22"/>
                <w:szCs w:val="22"/>
              </w:rPr>
            </w:pPr>
          </w:p>
        </w:tc>
        <w:tc>
          <w:tcPr>
            <w:tcW w:w="432" w:type="dxa"/>
          </w:tcPr>
          <w:p w14:paraId="6FC8C89B"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04C4E5F6"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10B6C764"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4F0C0392" w14:textId="77777777" w:rsidR="001D3205" w:rsidRPr="000F02EC" w:rsidRDefault="001D3205" w:rsidP="00043CD5">
            <w:pPr>
              <w:pBdr>
                <w:top w:val="nil"/>
                <w:left w:val="nil"/>
                <w:bottom w:val="nil"/>
                <w:right w:val="nil"/>
                <w:between w:val="nil"/>
              </w:pBdr>
              <w:rPr>
                <w:color w:val="000000"/>
                <w:sz w:val="22"/>
                <w:szCs w:val="18"/>
              </w:rPr>
            </w:pPr>
          </w:p>
        </w:tc>
        <w:tc>
          <w:tcPr>
            <w:tcW w:w="432" w:type="dxa"/>
          </w:tcPr>
          <w:p w14:paraId="1E2AE3FE" w14:textId="5985743A" w:rsidR="001D3205" w:rsidRPr="000F02EC" w:rsidRDefault="001D3205" w:rsidP="00043CD5">
            <w:pPr>
              <w:pBdr>
                <w:top w:val="nil"/>
                <w:left w:val="nil"/>
                <w:bottom w:val="nil"/>
                <w:right w:val="nil"/>
                <w:between w:val="nil"/>
              </w:pBdr>
              <w:rPr>
                <w:color w:val="000000"/>
                <w:sz w:val="22"/>
                <w:szCs w:val="18"/>
              </w:rPr>
            </w:pPr>
          </w:p>
        </w:tc>
        <w:tc>
          <w:tcPr>
            <w:tcW w:w="5130" w:type="dxa"/>
            <w:shd w:val="clear" w:color="auto" w:fill="auto"/>
          </w:tcPr>
          <w:p w14:paraId="6E794D8E" w14:textId="563D7254" w:rsidR="001D3205" w:rsidRPr="4A05B977" w:rsidRDefault="001D3205" w:rsidP="4A05B977">
            <w:pPr>
              <w:numPr>
                <w:ilvl w:val="0"/>
                <w:numId w:val="9"/>
              </w:numPr>
              <w:pBdr>
                <w:top w:val="nil"/>
                <w:left w:val="nil"/>
                <w:bottom w:val="nil"/>
                <w:right w:val="nil"/>
                <w:between w:val="nil"/>
              </w:pBdr>
              <w:rPr>
                <w:color w:val="000000" w:themeColor="text1"/>
                <w:sz w:val="22"/>
                <w:szCs w:val="22"/>
              </w:rPr>
            </w:pPr>
            <w:r>
              <w:rPr>
                <w:color w:val="000000"/>
                <w:sz w:val="22"/>
                <w:szCs w:val="18"/>
              </w:rPr>
              <w:t>The student’s adaptive behavior scores and observations reflect an inability to independently demonstrate daily living skills.</w:t>
            </w:r>
          </w:p>
        </w:tc>
        <w:tc>
          <w:tcPr>
            <w:tcW w:w="2353" w:type="dxa"/>
          </w:tcPr>
          <w:p w14:paraId="3EA128F6" w14:textId="77777777" w:rsidR="001D3205" w:rsidRPr="000F02EC" w:rsidRDefault="001D3205" w:rsidP="00043CD5">
            <w:pPr>
              <w:pBdr>
                <w:top w:val="nil"/>
                <w:left w:val="nil"/>
                <w:bottom w:val="nil"/>
                <w:right w:val="nil"/>
                <w:between w:val="nil"/>
              </w:pBdr>
              <w:rPr>
                <w:color w:val="000000"/>
                <w:sz w:val="22"/>
                <w:szCs w:val="18"/>
              </w:rPr>
            </w:pPr>
          </w:p>
        </w:tc>
      </w:tr>
    </w:tbl>
    <w:p w14:paraId="7B003741" w14:textId="77777777" w:rsidR="00515E23" w:rsidRDefault="00515E23" w:rsidP="4A05B977">
      <w:pPr>
        <w:rPr>
          <w:rFonts w:ascii="PermianSlabSerifTypeface" w:hAnsi="PermianSlabSerifTypeface"/>
          <w:b/>
          <w:bCs/>
          <w:sz w:val="32"/>
          <w:szCs w:val="32"/>
        </w:rPr>
      </w:pPr>
    </w:p>
    <w:p w14:paraId="5254A3D6" w14:textId="77777777" w:rsidR="00515E23" w:rsidRDefault="00515E23" w:rsidP="4A05B977">
      <w:pPr>
        <w:rPr>
          <w:rFonts w:ascii="PermianSlabSerifTypeface" w:hAnsi="PermianSlabSerifTypeface"/>
          <w:b/>
          <w:bCs/>
          <w:sz w:val="32"/>
          <w:szCs w:val="32"/>
        </w:rPr>
      </w:pPr>
    </w:p>
    <w:p w14:paraId="141E1FE3" w14:textId="77777777" w:rsidR="00515E23" w:rsidRDefault="00515E23" w:rsidP="4A05B977">
      <w:pPr>
        <w:rPr>
          <w:rFonts w:ascii="PermianSlabSerifTypeface" w:hAnsi="PermianSlabSerifTypeface"/>
          <w:b/>
          <w:bCs/>
          <w:sz w:val="32"/>
          <w:szCs w:val="32"/>
        </w:rPr>
      </w:pPr>
    </w:p>
    <w:p w14:paraId="1C5393E2" w14:textId="3A94D6C6" w:rsidR="007A089C" w:rsidRDefault="007A089C" w:rsidP="4A05B977">
      <w:pPr>
        <w:rPr>
          <w:rFonts w:ascii="PermianSlabSerifTypeface" w:hAnsi="PermianSlabSerifTypeface"/>
          <w:b/>
          <w:bCs/>
          <w:sz w:val="32"/>
          <w:szCs w:val="32"/>
        </w:rPr>
      </w:pPr>
      <w:r w:rsidRPr="4A05B977">
        <w:rPr>
          <w:rFonts w:ascii="PermianSlabSerifTypeface" w:hAnsi="PermianSlabSerifTypeface"/>
          <w:b/>
          <w:bCs/>
          <w:sz w:val="32"/>
          <w:szCs w:val="32"/>
        </w:rPr>
        <w:lastRenderedPageBreak/>
        <w:t xml:space="preserve">Criterion </w:t>
      </w:r>
      <w:r w:rsidR="2C05EF20" w:rsidRPr="4A05B977">
        <w:rPr>
          <w:rFonts w:ascii="PermianSlabSerifTypeface" w:hAnsi="PermianSlabSerifTypeface"/>
          <w:b/>
          <w:bCs/>
          <w:sz w:val="32"/>
          <w:szCs w:val="32"/>
        </w:rPr>
        <w:t>Two</w:t>
      </w:r>
      <w:r w:rsidRPr="4A05B977">
        <w:rPr>
          <w:rFonts w:ascii="PermianSlabSerifTypeface" w:hAnsi="PermianSlabSerifTypeface"/>
          <w:b/>
          <w:bCs/>
          <w:sz w:val="32"/>
          <w:szCs w:val="32"/>
        </w:rPr>
        <w:t>: The student is learning content linked to (derived from) Tennessee Academic Standards.</w:t>
      </w:r>
    </w:p>
    <w:p w14:paraId="6C27B274" w14:textId="77777777" w:rsidR="009D7065" w:rsidRPr="00515E23" w:rsidRDefault="009D7065" w:rsidP="4A05B977"/>
    <w:p w14:paraId="20480602" w14:textId="77777777" w:rsidR="00AE6ECF" w:rsidRPr="0055754C" w:rsidRDefault="00AE6ECF" w:rsidP="00AE6ECF">
      <w:r w:rsidRPr="0055754C">
        <w:t>For students who meet criterion 1, the team must then determine if the student is engaging in learning linked to the Tennessee Academic Standards. Below are some considerations to guide teams in making this determination.</w:t>
      </w:r>
    </w:p>
    <w:p w14:paraId="23DE523C" w14:textId="77777777" w:rsidR="00876B84" w:rsidRPr="0055754C" w:rsidRDefault="00876B84" w:rsidP="00AE6ECF"/>
    <w:p w14:paraId="5D5984DD" w14:textId="77777777" w:rsidR="00876B84" w:rsidRPr="0055754C" w:rsidRDefault="00876B84" w:rsidP="00876B84">
      <w:r w:rsidRPr="0055754C">
        <w:t>When reviewing a student file, rate the following considerations using the scale:</w:t>
      </w:r>
    </w:p>
    <w:p w14:paraId="6E6CEF3A" w14:textId="77777777" w:rsidR="00876B84" w:rsidRPr="0055754C" w:rsidRDefault="00876B84" w:rsidP="00876B84">
      <w:r w:rsidRPr="0055754C">
        <w:tab/>
        <w:t>1 = No evidence to support the IEP team decision</w:t>
      </w:r>
    </w:p>
    <w:p w14:paraId="0EB75184" w14:textId="77777777" w:rsidR="00876B84" w:rsidRPr="0055754C" w:rsidRDefault="00876B84" w:rsidP="00876B84">
      <w:r w:rsidRPr="0055754C">
        <w:tab/>
        <w:t>3 = Minimal evidence or inconclusive support of the IEP team decision</w:t>
      </w:r>
    </w:p>
    <w:p w14:paraId="0A30F8F5" w14:textId="77777777" w:rsidR="00876B84" w:rsidRPr="0055754C" w:rsidRDefault="00876B84" w:rsidP="00876B84">
      <w:r w:rsidRPr="0055754C">
        <w:tab/>
        <w:t>5 = Clear evidence to support the IEP team decision</w:t>
      </w:r>
    </w:p>
    <w:p w14:paraId="52E56223" w14:textId="77777777" w:rsidR="00AE6ECF" w:rsidRDefault="00AE6ECF" w:rsidP="00AE6ECF"/>
    <w:tbl>
      <w:tblPr>
        <w:tblW w:w="13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432"/>
        <w:gridCol w:w="432"/>
        <w:gridCol w:w="432"/>
        <w:gridCol w:w="432"/>
        <w:gridCol w:w="432"/>
        <w:gridCol w:w="5328"/>
        <w:gridCol w:w="2448"/>
      </w:tblGrid>
      <w:tr w:rsidR="006F54CA" w:rsidRPr="00AE6ECF" w14:paraId="241DB439" w14:textId="77777777" w:rsidTr="0079736B">
        <w:trPr>
          <w:tblHeader/>
        </w:trPr>
        <w:tc>
          <w:tcPr>
            <w:tcW w:w="3600" w:type="dxa"/>
            <w:shd w:val="clear" w:color="auto" w:fill="FABF8F" w:themeFill="accent6" w:themeFillTint="99"/>
            <w:vAlign w:val="center"/>
          </w:tcPr>
          <w:p w14:paraId="16F033E2" w14:textId="77777777" w:rsidR="006F54CA" w:rsidRPr="00AE6ECF" w:rsidRDefault="006F54CA" w:rsidP="003E22A7">
            <w:pPr>
              <w:pBdr>
                <w:top w:val="nil"/>
                <w:left w:val="nil"/>
                <w:bottom w:val="nil"/>
                <w:right w:val="nil"/>
                <w:between w:val="nil"/>
              </w:pBdr>
              <w:jc w:val="center"/>
              <w:rPr>
                <w:b/>
                <w:color w:val="000000"/>
                <w:sz w:val="22"/>
                <w:szCs w:val="18"/>
              </w:rPr>
            </w:pPr>
            <w:r>
              <w:rPr>
                <w:b/>
                <w:color w:val="000000"/>
                <w:sz w:val="22"/>
                <w:szCs w:val="18"/>
              </w:rPr>
              <w:t>Evidence of Considerations Used to Determine Eligibility</w:t>
            </w:r>
          </w:p>
        </w:tc>
        <w:tc>
          <w:tcPr>
            <w:tcW w:w="432" w:type="dxa"/>
            <w:shd w:val="clear" w:color="auto" w:fill="FABF8F" w:themeFill="accent6" w:themeFillTint="99"/>
            <w:vAlign w:val="center"/>
          </w:tcPr>
          <w:p w14:paraId="56B20A0C" w14:textId="77777777" w:rsidR="006F54CA" w:rsidRPr="00AE6ECF" w:rsidRDefault="006F54CA" w:rsidP="006F54CA">
            <w:pPr>
              <w:pBdr>
                <w:top w:val="nil"/>
                <w:left w:val="nil"/>
                <w:bottom w:val="nil"/>
                <w:right w:val="nil"/>
                <w:between w:val="nil"/>
              </w:pBdr>
              <w:jc w:val="center"/>
              <w:rPr>
                <w:b/>
                <w:color w:val="000000"/>
                <w:sz w:val="22"/>
                <w:szCs w:val="18"/>
              </w:rPr>
            </w:pPr>
            <w:r>
              <w:rPr>
                <w:b/>
                <w:color w:val="000000"/>
                <w:sz w:val="22"/>
                <w:szCs w:val="18"/>
              </w:rPr>
              <w:t>1</w:t>
            </w:r>
          </w:p>
        </w:tc>
        <w:tc>
          <w:tcPr>
            <w:tcW w:w="432" w:type="dxa"/>
            <w:shd w:val="clear" w:color="auto" w:fill="FABF8F" w:themeFill="accent6" w:themeFillTint="99"/>
            <w:vAlign w:val="center"/>
          </w:tcPr>
          <w:p w14:paraId="7144751B" w14:textId="77777777" w:rsidR="006F54CA" w:rsidRDefault="006F54CA" w:rsidP="006F54CA">
            <w:pPr>
              <w:pBdr>
                <w:top w:val="nil"/>
                <w:left w:val="nil"/>
                <w:bottom w:val="nil"/>
                <w:right w:val="nil"/>
                <w:between w:val="nil"/>
              </w:pBdr>
              <w:jc w:val="center"/>
              <w:rPr>
                <w:b/>
                <w:color w:val="000000"/>
                <w:sz w:val="22"/>
                <w:szCs w:val="18"/>
              </w:rPr>
            </w:pPr>
            <w:r>
              <w:rPr>
                <w:b/>
                <w:color w:val="000000"/>
                <w:sz w:val="22"/>
                <w:szCs w:val="18"/>
              </w:rPr>
              <w:t>2</w:t>
            </w:r>
          </w:p>
        </w:tc>
        <w:tc>
          <w:tcPr>
            <w:tcW w:w="432" w:type="dxa"/>
            <w:shd w:val="clear" w:color="auto" w:fill="FABF8F" w:themeFill="accent6" w:themeFillTint="99"/>
            <w:vAlign w:val="center"/>
          </w:tcPr>
          <w:p w14:paraId="0B778152" w14:textId="77777777" w:rsidR="006F54CA" w:rsidRDefault="006F54CA" w:rsidP="006F54CA">
            <w:pPr>
              <w:pBdr>
                <w:top w:val="nil"/>
                <w:left w:val="nil"/>
                <w:bottom w:val="nil"/>
                <w:right w:val="nil"/>
                <w:between w:val="nil"/>
              </w:pBdr>
              <w:jc w:val="center"/>
              <w:rPr>
                <w:b/>
                <w:color w:val="000000"/>
                <w:sz w:val="22"/>
                <w:szCs w:val="18"/>
              </w:rPr>
            </w:pPr>
            <w:r>
              <w:rPr>
                <w:b/>
                <w:color w:val="000000"/>
                <w:sz w:val="22"/>
                <w:szCs w:val="18"/>
              </w:rPr>
              <w:t>3</w:t>
            </w:r>
          </w:p>
        </w:tc>
        <w:tc>
          <w:tcPr>
            <w:tcW w:w="432" w:type="dxa"/>
            <w:shd w:val="clear" w:color="auto" w:fill="FABF8F" w:themeFill="accent6" w:themeFillTint="99"/>
            <w:vAlign w:val="center"/>
          </w:tcPr>
          <w:p w14:paraId="279935FF" w14:textId="77777777" w:rsidR="006F54CA" w:rsidRPr="00AE6ECF" w:rsidRDefault="006F54CA" w:rsidP="006F54CA">
            <w:pPr>
              <w:pBdr>
                <w:top w:val="nil"/>
                <w:left w:val="nil"/>
                <w:bottom w:val="nil"/>
                <w:right w:val="nil"/>
                <w:between w:val="nil"/>
              </w:pBdr>
              <w:jc w:val="center"/>
              <w:rPr>
                <w:b/>
                <w:color w:val="000000"/>
                <w:sz w:val="22"/>
                <w:szCs w:val="18"/>
              </w:rPr>
            </w:pPr>
            <w:r>
              <w:rPr>
                <w:b/>
                <w:color w:val="000000"/>
                <w:sz w:val="22"/>
                <w:szCs w:val="18"/>
              </w:rPr>
              <w:t>4</w:t>
            </w:r>
          </w:p>
        </w:tc>
        <w:tc>
          <w:tcPr>
            <w:tcW w:w="432" w:type="dxa"/>
            <w:shd w:val="clear" w:color="auto" w:fill="FABF8F" w:themeFill="accent6" w:themeFillTint="99"/>
            <w:vAlign w:val="center"/>
          </w:tcPr>
          <w:p w14:paraId="44240AAE" w14:textId="77777777" w:rsidR="006F54CA" w:rsidRPr="00AE6ECF" w:rsidRDefault="006F54CA" w:rsidP="006F54CA">
            <w:pPr>
              <w:pBdr>
                <w:top w:val="nil"/>
                <w:left w:val="nil"/>
                <w:bottom w:val="nil"/>
                <w:right w:val="nil"/>
                <w:between w:val="nil"/>
              </w:pBdr>
              <w:jc w:val="center"/>
              <w:rPr>
                <w:b/>
                <w:color w:val="000000"/>
                <w:sz w:val="22"/>
                <w:szCs w:val="18"/>
              </w:rPr>
            </w:pPr>
            <w:r>
              <w:rPr>
                <w:b/>
                <w:color w:val="000000"/>
                <w:sz w:val="22"/>
                <w:szCs w:val="18"/>
              </w:rPr>
              <w:t>5</w:t>
            </w:r>
          </w:p>
        </w:tc>
        <w:tc>
          <w:tcPr>
            <w:tcW w:w="5328" w:type="dxa"/>
            <w:shd w:val="clear" w:color="auto" w:fill="FABF8F" w:themeFill="accent6" w:themeFillTint="99"/>
            <w:vAlign w:val="center"/>
          </w:tcPr>
          <w:p w14:paraId="7192849B" w14:textId="326577F4" w:rsidR="006F54CA" w:rsidRPr="00AE6ECF" w:rsidRDefault="5EB5728B" w:rsidP="5EB5728B">
            <w:pPr>
              <w:pBdr>
                <w:top w:val="nil"/>
                <w:left w:val="nil"/>
                <w:bottom w:val="nil"/>
                <w:right w:val="nil"/>
                <w:between w:val="nil"/>
              </w:pBdr>
              <w:jc w:val="center"/>
              <w:rPr>
                <w:b/>
                <w:bCs/>
                <w:color w:val="000000" w:themeColor="text1"/>
                <w:sz w:val="22"/>
                <w:szCs w:val="22"/>
              </w:rPr>
            </w:pPr>
            <w:r w:rsidRPr="5EB5728B">
              <w:rPr>
                <w:b/>
                <w:bCs/>
                <w:color w:val="000000" w:themeColor="text1"/>
                <w:sz w:val="22"/>
                <w:szCs w:val="22"/>
              </w:rPr>
              <w:t>Additional Considerations</w:t>
            </w:r>
          </w:p>
        </w:tc>
        <w:tc>
          <w:tcPr>
            <w:tcW w:w="2448" w:type="dxa"/>
            <w:shd w:val="clear" w:color="auto" w:fill="FABF8F" w:themeFill="accent6" w:themeFillTint="99"/>
            <w:vAlign w:val="center"/>
          </w:tcPr>
          <w:p w14:paraId="4707AF9E" w14:textId="77777777" w:rsidR="006F54CA" w:rsidRPr="00AE6ECF" w:rsidRDefault="006F54CA" w:rsidP="003E22A7">
            <w:pPr>
              <w:pBdr>
                <w:top w:val="nil"/>
                <w:left w:val="nil"/>
                <w:bottom w:val="nil"/>
                <w:right w:val="nil"/>
                <w:between w:val="nil"/>
              </w:pBdr>
              <w:jc w:val="center"/>
              <w:rPr>
                <w:b/>
                <w:color w:val="000000"/>
                <w:sz w:val="22"/>
                <w:szCs w:val="18"/>
              </w:rPr>
            </w:pPr>
            <w:r>
              <w:rPr>
                <w:b/>
                <w:color w:val="000000"/>
                <w:sz w:val="22"/>
                <w:szCs w:val="18"/>
              </w:rPr>
              <w:t>Notes</w:t>
            </w:r>
          </w:p>
        </w:tc>
      </w:tr>
      <w:tr w:rsidR="001D3205" w:rsidRPr="00AE6ECF" w14:paraId="57CE7D0A" w14:textId="77777777" w:rsidTr="00515E23">
        <w:trPr>
          <w:trHeight w:val="1178"/>
        </w:trPr>
        <w:tc>
          <w:tcPr>
            <w:tcW w:w="3600" w:type="dxa"/>
            <w:vMerge w:val="restart"/>
            <w:shd w:val="clear" w:color="auto" w:fill="auto"/>
          </w:tcPr>
          <w:p w14:paraId="18D77DA4" w14:textId="77777777" w:rsidR="001D3205" w:rsidRPr="00AE6ECF" w:rsidRDefault="001D3205" w:rsidP="00AE6ECF">
            <w:pPr>
              <w:numPr>
                <w:ilvl w:val="0"/>
                <w:numId w:val="14"/>
              </w:numPr>
              <w:pBdr>
                <w:top w:val="nil"/>
                <w:left w:val="nil"/>
                <w:bottom w:val="nil"/>
                <w:right w:val="nil"/>
                <w:between w:val="nil"/>
              </w:pBdr>
              <w:rPr>
                <w:color w:val="000000"/>
                <w:sz w:val="22"/>
                <w:szCs w:val="18"/>
              </w:rPr>
            </w:pPr>
            <w:r>
              <w:rPr>
                <w:b/>
                <w:color w:val="000000"/>
                <w:sz w:val="22"/>
                <w:szCs w:val="18"/>
              </w:rPr>
              <w:t>T</w:t>
            </w:r>
            <w:r w:rsidRPr="00AE6ECF">
              <w:rPr>
                <w:b/>
                <w:color w:val="000000"/>
                <w:sz w:val="22"/>
                <w:szCs w:val="18"/>
              </w:rPr>
              <w:t>he student’s disability impact</w:t>
            </w:r>
            <w:r>
              <w:rPr>
                <w:b/>
                <w:color w:val="000000"/>
                <w:sz w:val="22"/>
                <w:szCs w:val="18"/>
              </w:rPr>
              <w:t>s</w:t>
            </w:r>
            <w:r w:rsidRPr="00AE6ECF">
              <w:rPr>
                <w:b/>
                <w:color w:val="000000"/>
                <w:sz w:val="22"/>
                <w:szCs w:val="18"/>
              </w:rPr>
              <w:t xml:space="preserve"> their </w:t>
            </w:r>
            <w:r w:rsidRPr="00AE6ECF">
              <w:rPr>
                <w:b/>
                <w:i/>
                <w:color w:val="000000"/>
                <w:sz w:val="22"/>
                <w:szCs w:val="18"/>
              </w:rPr>
              <w:t>active</w:t>
            </w:r>
            <w:r w:rsidRPr="00AE6ECF">
              <w:rPr>
                <w:b/>
                <w:color w:val="000000"/>
                <w:sz w:val="22"/>
                <w:szCs w:val="18"/>
              </w:rPr>
              <w:t xml:space="preserve"> participation in instruction that is aligned to state standards</w:t>
            </w:r>
            <w:r>
              <w:rPr>
                <w:b/>
                <w:color w:val="000000"/>
                <w:sz w:val="22"/>
                <w:szCs w:val="18"/>
              </w:rPr>
              <w:t>.</w:t>
            </w:r>
          </w:p>
        </w:tc>
        <w:tc>
          <w:tcPr>
            <w:tcW w:w="432" w:type="dxa"/>
            <w:vAlign w:val="center"/>
          </w:tcPr>
          <w:p w14:paraId="080C7C6B" w14:textId="77777777" w:rsidR="001D3205" w:rsidRPr="00AE6ECF" w:rsidRDefault="001D3205" w:rsidP="006F54CA">
            <w:pPr>
              <w:pBdr>
                <w:top w:val="nil"/>
                <w:left w:val="nil"/>
                <w:bottom w:val="nil"/>
                <w:right w:val="nil"/>
                <w:between w:val="nil"/>
              </w:pBdr>
              <w:jc w:val="center"/>
              <w:rPr>
                <w:color w:val="000000"/>
                <w:sz w:val="22"/>
                <w:szCs w:val="18"/>
              </w:rPr>
            </w:pPr>
          </w:p>
        </w:tc>
        <w:tc>
          <w:tcPr>
            <w:tcW w:w="432" w:type="dxa"/>
            <w:vAlign w:val="center"/>
          </w:tcPr>
          <w:p w14:paraId="620DDAED" w14:textId="77777777" w:rsidR="001D3205" w:rsidRPr="00AE6ECF" w:rsidRDefault="001D3205" w:rsidP="006F54CA">
            <w:pPr>
              <w:pBdr>
                <w:top w:val="nil"/>
                <w:left w:val="nil"/>
                <w:bottom w:val="nil"/>
                <w:right w:val="nil"/>
                <w:between w:val="nil"/>
              </w:pBdr>
              <w:jc w:val="center"/>
              <w:rPr>
                <w:color w:val="000000"/>
                <w:sz w:val="22"/>
                <w:szCs w:val="18"/>
              </w:rPr>
            </w:pPr>
          </w:p>
        </w:tc>
        <w:tc>
          <w:tcPr>
            <w:tcW w:w="432" w:type="dxa"/>
            <w:vAlign w:val="center"/>
          </w:tcPr>
          <w:p w14:paraId="4894AFEE" w14:textId="77777777" w:rsidR="001D3205" w:rsidRPr="00AE6ECF" w:rsidRDefault="001D3205" w:rsidP="006F54CA">
            <w:pPr>
              <w:pBdr>
                <w:top w:val="nil"/>
                <w:left w:val="nil"/>
                <w:bottom w:val="nil"/>
                <w:right w:val="nil"/>
                <w:between w:val="nil"/>
              </w:pBdr>
              <w:jc w:val="center"/>
              <w:rPr>
                <w:color w:val="000000"/>
                <w:sz w:val="22"/>
                <w:szCs w:val="18"/>
              </w:rPr>
            </w:pPr>
          </w:p>
        </w:tc>
        <w:tc>
          <w:tcPr>
            <w:tcW w:w="432" w:type="dxa"/>
            <w:vAlign w:val="center"/>
          </w:tcPr>
          <w:p w14:paraId="0B2E24A4" w14:textId="77777777" w:rsidR="001D3205" w:rsidRPr="00AE6ECF" w:rsidRDefault="001D3205" w:rsidP="006F54CA">
            <w:pPr>
              <w:pBdr>
                <w:top w:val="nil"/>
                <w:left w:val="nil"/>
                <w:bottom w:val="nil"/>
                <w:right w:val="nil"/>
                <w:between w:val="nil"/>
              </w:pBdr>
              <w:jc w:val="center"/>
              <w:rPr>
                <w:color w:val="000000"/>
                <w:sz w:val="22"/>
                <w:szCs w:val="18"/>
              </w:rPr>
            </w:pPr>
          </w:p>
        </w:tc>
        <w:tc>
          <w:tcPr>
            <w:tcW w:w="432" w:type="dxa"/>
            <w:vAlign w:val="center"/>
          </w:tcPr>
          <w:p w14:paraId="6DFB9E20" w14:textId="15AF7AF3" w:rsidR="001D3205" w:rsidRPr="00AE6ECF" w:rsidRDefault="001D3205" w:rsidP="006F54CA">
            <w:pPr>
              <w:pBdr>
                <w:top w:val="nil"/>
                <w:left w:val="nil"/>
                <w:bottom w:val="nil"/>
                <w:right w:val="nil"/>
                <w:between w:val="nil"/>
              </w:pBdr>
              <w:jc w:val="center"/>
              <w:rPr>
                <w:color w:val="000000"/>
                <w:sz w:val="22"/>
                <w:szCs w:val="18"/>
              </w:rPr>
            </w:pPr>
          </w:p>
        </w:tc>
        <w:tc>
          <w:tcPr>
            <w:tcW w:w="5328" w:type="dxa"/>
            <w:shd w:val="clear" w:color="auto" w:fill="auto"/>
          </w:tcPr>
          <w:p w14:paraId="0F4A03F1" w14:textId="34375F3D" w:rsidR="001D3205" w:rsidRPr="00AE6ECF" w:rsidRDefault="001D3205" w:rsidP="00515E23">
            <w:pPr>
              <w:pStyle w:val="ListParagraph"/>
              <w:numPr>
                <w:ilvl w:val="0"/>
                <w:numId w:val="15"/>
              </w:numPr>
              <w:pBdr>
                <w:top w:val="nil"/>
                <w:left w:val="nil"/>
                <w:bottom w:val="nil"/>
                <w:right w:val="nil"/>
                <w:between w:val="nil"/>
              </w:pBdr>
              <w:rPr>
                <w:color w:val="000000"/>
                <w:sz w:val="22"/>
                <w:szCs w:val="22"/>
              </w:rPr>
            </w:pPr>
            <w:r w:rsidRPr="00E858AB">
              <w:rPr>
                <w:color w:val="000000"/>
                <w:sz w:val="22"/>
                <w:szCs w:val="18"/>
              </w:rPr>
              <w:t>T</w:t>
            </w:r>
            <w:r w:rsidRPr="003C341B">
              <w:rPr>
                <w:color w:val="000000"/>
                <w:sz w:val="22"/>
                <w:szCs w:val="18"/>
              </w:rPr>
              <w:t xml:space="preserve">he student participates in </w:t>
            </w:r>
            <w:r w:rsidR="00515E23">
              <w:rPr>
                <w:color w:val="000000"/>
                <w:sz w:val="22"/>
                <w:szCs w:val="18"/>
              </w:rPr>
              <w:t xml:space="preserve">daily </w:t>
            </w:r>
            <w:r w:rsidRPr="003C341B">
              <w:rPr>
                <w:color w:val="000000"/>
                <w:sz w:val="22"/>
                <w:szCs w:val="18"/>
              </w:rPr>
              <w:t>standards-based instruction in the areas of English language arts (ELA), math, sc</w:t>
            </w:r>
            <w:r w:rsidR="00515E23">
              <w:rPr>
                <w:color w:val="000000"/>
                <w:sz w:val="22"/>
                <w:szCs w:val="18"/>
              </w:rPr>
              <w:t>ience, and social studies.</w:t>
            </w:r>
          </w:p>
        </w:tc>
        <w:tc>
          <w:tcPr>
            <w:tcW w:w="2448" w:type="dxa"/>
          </w:tcPr>
          <w:p w14:paraId="144A5D23" w14:textId="77777777" w:rsidR="001D3205" w:rsidRPr="00AE6ECF" w:rsidRDefault="001D3205" w:rsidP="003E22A7">
            <w:pPr>
              <w:pBdr>
                <w:top w:val="nil"/>
                <w:left w:val="nil"/>
                <w:bottom w:val="nil"/>
                <w:right w:val="nil"/>
                <w:between w:val="nil"/>
              </w:pBdr>
              <w:rPr>
                <w:color w:val="000000"/>
                <w:sz w:val="22"/>
                <w:szCs w:val="18"/>
              </w:rPr>
            </w:pPr>
          </w:p>
        </w:tc>
      </w:tr>
      <w:tr w:rsidR="001D3205" w:rsidRPr="00AE6ECF" w14:paraId="6ED075C2" w14:textId="77777777" w:rsidTr="00290DF9">
        <w:trPr>
          <w:trHeight w:val="1745"/>
        </w:trPr>
        <w:tc>
          <w:tcPr>
            <w:tcW w:w="3600" w:type="dxa"/>
            <w:vMerge/>
            <w:shd w:val="clear" w:color="auto" w:fill="auto"/>
          </w:tcPr>
          <w:p w14:paraId="760CE095" w14:textId="77777777" w:rsidR="001D3205" w:rsidRDefault="001D3205" w:rsidP="00AE6ECF">
            <w:pPr>
              <w:numPr>
                <w:ilvl w:val="0"/>
                <w:numId w:val="14"/>
              </w:numPr>
              <w:pBdr>
                <w:top w:val="nil"/>
                <w:left w:val="nil"/>
                <w:bottom w:val="nil"/>
                <w:right w:val="nil"/>
                <w:between w:val="nil"/>
              </w:pBdr>
              <w:rPr>
                <w:b/>
                <w:color w:val="000000"/>
                <w:sz w:val="22"/>
                <w:szCs w:val="18"/>
              </w:rPr>
            </w:pPr>
          </w:p>
        </w:tc>
        <w:tc>
          <w:tcPr>
            <w:tcW w:w="432" w:type="dxa"/>
            <w:vAlign w:val="center"/>
          </w:tcPr>
          <w:p w14:paraId="073DBAE7" w14:textId="77777777" w:rsidR="001D3205" w:rsidRPr="00AE6ECF" w:rsidRDefault="001D3205" w:rsidP="006F54CA">
            <w:pPr>
              <w:pBdr>
                <w:top w:val="nil"/>
                <w:left w:val="nil"/>
                <w:bottom w:val="nil"/>
                <w:right w:val="nil"/>
                <w:between w:val="nil"/>
              </w:pBdr>
              <w:jc w:val="center"/>
              <w:rPr>
                <w:color w:val="000000"/>
                <w:sz w:val="22"/>
                <w:szCs w:val="18"/>
              </w:rPr>
            </w:pPr>
          </w:p>
        </w:tc>
        <w:tc>
          <w:tcPr>
            <w:tcW w:w="432" w:type="dxa"/>
            <w:vAlign w:val="center"/>
          </w:tcPr>
          <w:p w14:paraId="6637F530" w14:textId="77777777" w:rsidR="001D3205" w:rsidRPr="00AE6ECF" w:rsidRDefault="001D3205" w:rsidP="006F54CA">
            <w:pPr>
              <w:pBdr>
                <w:top w:val="nil"/>
                <w:left w:val="nil"/>
                <w:bottom w:val="nil"/>
                <w:right w:val="nil"/>
                <w:between w:val="nil"/>
              </w:pBdr>
              <w:jc w:val="center"/>
              <w:rPr>
                <w:color w:val="000000"/>
                <w:sz w:val="22"/>
                <w:szCs w:val="18"/>
              </w:rPr>
            </w:pPr>
          </w:p>
        </w:tc>
        <w:tc>
          <w:tcPr>
            <w:tcW w:w="432" w:type="dxa"/>
            <w:vAlign w:val="center"/>
          </w:tcPr>
          <w:p w14:paraId="0BC62827" w14:textId="77777777" w:rsidR="001D3205" w:rsidRPr="00AE6ECF" w:rsidRDefault="001D3205" w:rsidP="006F54CA">
            <w:pPr>
              <w:pBdr>
                <w:top w:val="nil"/>
                <w:left w:val="nil"/>
                <w:bottom w:val="nil"/>
                <w:right w:val="nil"/>
                <w:between w:val="nil"/>
              </w:pBdr>
              <w:jc w:val="center"/>
              <w:rPr>
                <w:color w:val="000000"/>
                <w:sz w:val="22"/>
                <w:szCs w:val="18"/>
              </w:rPr>
            </w:pPr>
          </w:p>
        </w:tc>
        <w:tc>
          <w:tcPr>
            <w:tcW w:w="432" w:type="dxa"/>
            <w:vAlign w:val="center"/>
          </w:tcPr>
          <w:p w14:paraId="4BFF215B" w14:textId="77777777" w:rsidR="001D3205" w:rsidRPr="00AE6ECF" w:rsidRDefault="001D3205" w:rsidP="006F54CA">
            <w:pPr>
              <w:pBdr>
                <w:top w:val="nil"/>
                <w:left w:val="nil"/>
                <w:bottom w:val="nil"/>
                <w:right w:val="nil"/>
                <w:between w:val="nil"/>
              </w:pBdr>
              <w:jc w:val="center"/>
              <w:rPr>
                <w:color w:val="000000"/>
                <w:sz w:val="22"/>
                <w:szCs w:val="18"/>
              </w:rPr>
            </w:pPr>
          </w:p>
        </w:tc>
        <w:tc>
          <w:tcPr>
            <w:tcW w:w="432" w:type="dxa"/>
            <w:vAlign w:val="center"/>
          </w:tcPr>
          <w:p w14:paraId="6710B78D" w14:textId="0084F1D2" w:rsidR="001D3205" w:rsidRPr="00AE6ECF" w:rsidRDefault="001D3205" w:rsidP="006F54CA">
            <w:pPr>
              <w:pBdr>
                <w:top w:val="nil"/>
                <w:left w:val="nil"/>
                <w:bottom w:val="nil"/>
                <w:right w:val="nil"/>
                <w:between w:val="nil"/>
              </w:pBdr>
              <w:jc w:val="center"/>
              <w:rPr>
                <w:color w:val="000000"/>
                <w:sz w:val="22"/>
                <w:szCs w:val="18"/>
              </w:rPr>
            </w:pPr>
          </w:p>
        </w:tc>
        <w:tc>
          <w:tcPr>
            <w:tcW w:w="5328" w:type="dxa"/>
            <w:shd w:val="clear" w:color="auto" w:fill="auto"/>
          </w:tcPr>
          <w:p w14:paraId="5514D383" w14:textId="77777777" w:rsidR="001D3205" w:rsidRPr="0079736B" w:rsidRDefault="001D3205" w:rsidP="001D3205">
            <w:pPr>
              <w:pStyle w:val="ListParagraph"/>
              <w:numPr>
                <w:ilvl w:val="0"/>
                <w:numId w:val="15"/>
              </w:numPr>
              <w:pBdr>
                <w:top w:val="nil"/>
                <w:left w:val="nil"/>
                <w:bottom w:val="nil"/>
                <w:right w:val="nil"/>
                <w:between w:val="nil"/>
              </w:pBdr>
              <w:rPr>
                <w:color w:val="000000"/>
                <w:sz w:val="22"/>
                <w:szCs w:val="18"/>
              </w:rPr>
            </w:pPr>
            <w:r w:rsidRPr="0079736B">
              <w:rPr>
                <w:color w:val="000000"/>
                <w:sz w:val="22"/>
                <w:szCs w:val="18"/>
              </w:rPr>
              <w:t xml:space="preserve">The </w:t>
            </w:r>
            <w:r>
              <w:rPr>
                <w:color w:val="000000"/>
                <w:sz w:val="22"/>
                <w:szCs w:val="18"/>
              </w:rPr>
              <w:t xml:space="preserve">instructional design </w:t>
            </w:r>
            <w:r w:rsidRPr="0079736B">
              <w:rPr>
                <w:color w:val="000000"/>
                <w:sz w:val="22"/>
                <w:szCs w:val="18"/>
                <w:u w:val="single"/>
              </w:rPr>
              <w:t>must</w:t>
            </w:r>
            <w:r>
              <w:rPr>
                <w:color w:val="000000"/>
                <w:sz w:val="22"/>
                <w:szCs w:val="18"/>
              </w:rPr>
              <w:t xml:space="preserve"> include significant supports, accommodations, and/or modifications to engage the student in the learning. Engagement may include:</w:t>
            </w:r>
          </w:p>
          <w:p w14:paraId="1B0322F5" w14:textId="77777777" w:rsidR="001D3205" w:rsidRPr="00B7225E" w:rsidRDefault="001D3205" w:rsidP="001D3205">
            <w:pPr>
              <w:numPr>
                <w:ilvl w:val="0"/>
                <w:numId w:val="16"/>
              </w:numPr>
              <w:pBdr>
                <w:top w:val="nil"/>
                <w:left w:val="nil"/>
                <w:bottom w:val="nil"/>
                <w:right w:val="nil"/>
                <w:between w:val="nil"/>
              </w:pBdr>
              <w:rPr>
                <w:i/>
                <w:color w:val="000000"/>
                <w:sz w:val="22"/>
                <w:szCs w:val="18"/>
              </w:rPr>
            </w:pPr>
            <w:r w:rsidRPr="0079736B">
              <w:rPr>
                <w:i/>
                <w:color w:val="000000"/>
                <w:sz w:val="22"/>
                <w:szCs w:val="18"/>
              </w:rPr>
              <w:t>using</w:t>
            </w:r>
            <w:r w:rsidRPr="00B7225E">
              <w:rPr>
                <w:i/>
                <w:color w:val="000000"/>
                <w:sz w:val="22"/>
                <w:szCs w:val="18"/>
              </w:rPr>
              <w:t xml:space="preserve"> content vocabulary,</w:t>
            </w:r>
          </w:p>
          <w:p w14:paraId="6260C6BA" w14:textId="77777777" w:rsidR="001D3205" w:rsidRPr="00AE6ECF" w:rsidRDefault="001D3205" w:rsidP="001D3205">
            <w:pPr>
              <w:numPr>
                <w:ilvl w:val="0"/>
                <w:numId w:val="16"/>
              </w:numPr>
              <w:pBdr>
                <w:top w:val="nil"/>
                <w:left w:val="nil"/>
                <w:bottom w:val="nil"/>
                <w:right w:val="nil"/>
                <w:between w:val="nil"/>
              </w:pBdr>
              <w:rPr>
                <w:i/>
                <w:color w:val="000000"/>
                <w:sz w:val="22"/>
                <w:szCs w:val="18"/>
              </w:rPr>
            </w:pPr>
            <w:r w:rsidRPr="00AE6ECF">
              <w:rPr>
                <w:i/>
                <w:color w:val="000000"/>
                <w:sz w:val="22"/>
                <w:szCs w:val="18"/>
              </w:rPr>
              <w:t>connecting concepts</w:t>
            </w:r>
            <w:r>
              <w:rPr>
                <w:i/>
                <w:color w:val="000000"/>
                <w:sz w:val="22"/>
                <w:szCs w:val="18"/>
              </w:rPr>
              <w:t>,</w:t>
            </w:r>
          </w:p>
          <w:p w14:paraId="35B4B07A" w14:textId="77777777" w:rsidR="001D3205" w:rsidRPr="0079736B" w:rsidRDefault="001D3205" w:rsidP="001D3205">
            <w:pPr>
              <w:numPr>
                <w:ilvl w:val="0"/>
                <w:numId w:val="16"/>
              </w:numPr>
              <w:pBdr>
                <w:top w:val="nil"/>
                <w:left w:val="nil"/>
                <w:bottom w:val="nil"/>
                <w:right w:val="nil"/>
                <w:between w:val="nil"/>
              </w:pBdr>
              <w:rPr>
                <w:i/>
                <w:iCs/>
                <w:color w:val="000000" w:themeColor="text1"/>
                <w:sz w:val="22"/>
                <w:szCs w:val="22"/>
              </w:rPr>
            </w:pPr>
            <w:r w:rsidRPr="7C0787DF">
              <w:rPr>
                <w:i/>
                <w:iCs/>
                <w:color w:val="000000" w:themeColor="text1"/>
                <w:sz w:val="22"/>
                <w:szCs w:val="22"/>
              </w:rPr>
              <w:t>demonstrating a concept or idea, and/or</w:t>
            </w:r>
          </w:p>
          <w:p w14:paraId="075E8D25" w14:textId="5C0A0E04" w:rsidR="001D3205" w:rsidRPr="001D3205" w:rsidRDefault="001D3205" w:rsidP="00515E23">
            <w:pPr>
              <w:pBdr>
                <w:top w:val="nil"/>
                <w:left w:val="nil"/>
                <w:bottom w:val="nil"/>
                <w:right w:val="nil"/>
                <w:between w:val="nil"/>
              </w:pBdr>
              <w:ind w:left="702"/>
              <w:rPr>
                <w:color w:val="000000"/>
                <w:sz w:val="22"/>
                <w:szCs w:val="18"/>
              </w:rPr>
            </w:pPr>
            <w:r w:rsidRPr="4A05B977">
              <w:rPr>
                <w:i/>
                <w:iCs/>
                <w:color w:val="000000" w:themeColor="text1"/>
                <w:sz w:val="22"/>
                <w:szCs w:val="22"/>
              </w:rPr>
              <w:t>physical</w:t>
            </w:r>
            <w:r>
              <w:rPr>
                <w:i/>
                <w:iCs/>
                <w:color w:val="000000" w:themeColor="text1"/>
                <w:sz w:val="22"/>
                <w:szCs w:val="22"/>
              </w:rPr>
              <w:t>ly</w:t>
            </w:r>
            <w:r w:rsidRPr="4A05B977">
              <w:rPr>
                <w:i/>
                <w:iCs/>
                <w:color w:val="000000" w:themeColor="text1"/>
                <w:sz w:val="22"/>
                <w:szCs w:val="22"/>
              </w:rPr>
              <w:t xml:space="preserve"> communicati</w:t>
            </w:r>
            <w:r>
              <w:rPr>
                <w:i/>
                <w:iCs/>
                <w:color w:val="000000" w:themeColor="text1"/>
                <w:sz w:val="22"/>
                <w:szCs w:val="22"/>
              </w:rPr>
              <w:t xml:space="preserve">ng interest and engagement </w:t>
            </w:r>
            <w:r w:rsidRPr="4A05B977">
              <w:rPr>
                <w:i/>
                <w:iCs/>
                <w:color w:val="000000" w:themeColor="text1"/>
                <w:sz w:val="22"/>
                <w:szCs w:val="22"/>
              </w:rPr>
              <w:t>(i.e., laughing, pointing, excitement).</w:t>
            </w:r>
          </w:p>
        </w:tc>
        <w:tc>
          <w:tcPr>
            <w:tcW w:w="2448" w:type="dxa"/>
          </w:tcPr>
          <w:p w14:paraId="51596DA7" w14:textId="77777777" w:rsidR="001D3205" w:rsidRPr="00AE6ECF" w:rsidRDefault="001D3205" w:rsidP="003E22A7">
            <w:pPr>
              <w:pBdr>
                <w:top w:val="nil"/>
                <w:left w:val="nil"/>
                <w:bottom w:val="nil"/>
                <w:right w:val="nil"/>
                <w:between w:val="nil"/>
              </w:pBdr>
              <w:rPr>
                <w:color w:val="000000"/>
                <w:sz w:val="22"/>
                <w:szCs w:val="18"/>
              </w:rPr>
            </w:pPr>
          </w:p>
        </w:tc>
      </w:tr>
      <w:tr w:rsidR="001D3205" w:rsidRPr="00AE6ECF" w14:paraId="01FAD91D" w14:textId="77777777" w:rsidTr="00515E23">
        <w:trPr>
          <w:trHeight w:val="908"/>
        </w:trPr>
        <w:tc>
          <w:tcPr>
            <w:tcW w:w="3600" w:type="dxa"/>
            <w:vMerge/>
            <w:shd w:val="clear" w:color="auto" w:fill="auto"/>
          </w:tcPr>
          <w:p w14:paraId="4E42885D" w14:textId="77777777" w:rsidR="001D3205" w:rsidRDefault="001D3205" w:rsidP="00AE6ECF">
            <w:pPr>
              <w:numPr>
                <w:ilvl w:val="0"/>
                <w:numId w:val="14"/>
              </w:numPr>
              <w:pBdr>
                <w:top w:val="nil"/>
                <w:left w:val="nil"/>
                <w:bottom w:val="nil"/>
                <w:right w:val="nil"/>
                <w:between w:val="nil"/>
              </w:pBdr>
              <w:rPr>
                <w:b/>
                <w:color w:val="000000"/>
                <w:sz w:val="22"/>
                <w:szCs w:val="18"/>
              </w:rPr>
            </w:pPr>
          </w:p>
        </w:tc>
        <w:tc>
          <w:tcPr>
            <w:tcW w:w="432" w:type="dxa"/>
            <w:vAlign w:val="center"/>
          </w:tcPr>
          <w:p w14:paraId="0B601B77" w14:textId="77777777" w:rsidR="001D3205" w:rsidRPr="00AE6ECF" w:rsidRDefault="001D3205" w:rsidP="006F54CA">
            <w:pPr>
              <w:pBdr>
                <w:top w:val="nil"/>
                <w:left w:val="nil"/>
                <w:bottom w:val="nil"/>
                <w:right w:val="nil"/>
                <w:between w:val="nil"/>
              </w:pBdr>
              <w:jc w:val="center"/>
              <w:rPr>
                <w:color w:val="000000"/>
                <w:sz w:val="22"/>
                <w:szCs w:val="18"/>
              </w:rPr>
            </w:pPr>
          </w:p>
        </w:tc>
        <w:tc>
          <w:tcPr>
            <w:tcW w:w="432" w:type="dxa"/>
            <w:vAlign w:val="center"/>
          </w:tcPr>
          <w:p w14:paraId="010A6220" w14:textId="77777777" w:rsidR="001D3205" w:rsidRPr="00AE6ECF" w:rsidRDefault="001D3205" w:rsidP="006F54CA">
            <w:pPr>
              <w:pBdr>
                <w:top w:val="nil"/>
                <w:left w:val="nil"/>
                <w:bottom w:val="nil"/>
                <w:right w:val="nil"/>
                <w:between w:val="nil"/>
              </w:pBdr>
              <w:jc w:val="center"/>
              <w:rPr>
                <w:color w:val="000000"/>
                <w:sz w:val="22"/>
                <w:szCs w:val="18"/>
              </w:rPr>
            </w:pPr>
          </w:p>
        </w:tc>
        <w:tc>
          <w:tcPr>
            <w:tcW w:w="432" w:type="dxa"/>
            <w:vAlign w:val="center"/>
          </w:tcPr>
          <w:p w14:paraId="06631A74" w14:textId="77777777" w:rsidR="001D3205" w:rsidRPr="00AE6ECF" w:rsidRDefault="001D3205" w:rsidP="006F54CA">
            <w:pPr>
              <w:pBdr>
                <w:top w:val="nil"/>
                <w:left w:val="nil"/>
                <w:bottom w:val="nil"/>
                <w:right w:val="nil"/>
                <w:between w:val="nil"/>
              </w:pBdr>
              <w:jc w:val="center"/>
              <w:rPr>
                <w:color w:val="000000"/>
                <w:sz w:val="22"/>
                <w:szCs w:val="18"/>
              </w:rPr>
            </w:pPr>
          </w:p>
        </w:tc>
        <w:tc>
          <w:tcPr>
            <w:tcW w:w="432" w:type="dxa"/>
            <w:vAlign w:val="center"/>
          </w:tcPr>
          <w:p w14:paraId="22FA89CB" w14:textId="77777777" w:rsidR="001D3205" w:rsidRPr="00AE6ECF" w:rsidRDefault="001D3205" w:rsidP="006F54CA">
            <w:pPr>
              <w:pBdr>
                <w:top w:val="nil"/>
                <w:left w:val="nil"/>
                <w:bottom w:val="nil"/>
                <w:right w:val="nil"/>
                <w:between w:val="nil"/>
              </w:pBdr>
              <w:jc w:val="center"/>
              <w:rPr>
                <w:color w:val="000000"/>
                <w:sz w:val="22"/>
                <w:szCs w:val="18"/>
              </w:rPr>
            </w:pPr>
          </w:p>
        </w:tc>
        <w:tc>
          <w:tcPr>
            <w:tcW w:w="432" w:type="dxa"/>
            <w:vAlign w:val="center"/>
          </w:tcPr>
          <w:p w14:paraId="69763F69" w14:textId="29B477AE" w:rsidR="001D3205" w:rsidRPr="00AE6ECF" w:rsidRDefault="001D3205" w:rsidP="006F54CA">
            <w:pPr>
              <w:pBdr>
                <w:top w:val="nil"/>
                <w:left w:val="nil"/>
                <w:bottom w:val="nil"/>
                <w:right w:val="nil"/>
                <w:between w:val="nil"/>
              </w:pBdr>
              <w:jc w:val="center"/>
              <w:rPr>
                <w:color w:val="000000"/>
                <w:sz w:val="22"/>
                <w:szCs w:val="18"/>
              </w:rPr>
            </w:pPr>
          </w:p>
        </w:tc>
        <w:tc>
          <w:tcPr>
            <w:tcW w:w="5328" w:type="dxa"/>
            <w:shd w:val="clear" w:color="auto" w:fill="auto"/>
          </w:tcPr>
          <w:p w14:paraId="786B80FF" w14:textId="12671B7A" w:rsidR="001D3205" w:rsidRPr="00E858AB" w:rsidRDefault="001D3205" w:rsidP="001D3205">
            <w:pPr>
              <w:pStyle w:val="ListParagraph"/>
              <w:numPr>
                <w:ilvl w:val="0"/>
                <w:numId w:val="15"/>
              </w:numPr>
              <w:pBdr>
                <w:top w:val="nil"/>
                <w:left w:val="nil"/>
                <w:bottom w:val="nil"/>
                <w:right w:val="nil"/>
                <w:between w:val="nil"/>
              </w:pBdr>
              <w:rPr>
                <w:color w:val="000000"/>
                <w:sz w:val="22"/>
                <w:szCs w:val="18"/>
              </w:rPr>
            </w:pPr>
            <w:r>
              <w:rPr>
                <w:color w:val="000000"/>
                <w:sz w:val="22"/>
                <w:szCs w:val="22"/>
              </w:rPr>
              <w:t>T</w:t>
            </w:r>
            <w:r w:rsidRPr="00AE6ECF">
              <w:rPr>
                <w:color w:val="000000"/>
                <w:sz w:val="22"/>
                <w:szCs w:val="22"/>
              </w:rPr>
              <w:t>he student</w:t>
            </w:r>
            <w:r>
              <w:rPr>
                <w:color w:val="000000"/>
                <w:sz w:val="22"/>
                <w:szCs w:val="22"/>
              </w:rPr>
              <w:t xml:space="preserve"> requires supports, scaffolds, or modifications to</w:t>
            </w:r>
            <w:r w:rsidRPr="00AE6ECF">
              <w:rPr>
                <w:color w:val="000000"/>
                <w:sz w:val="22"/>
                <w:szCs w:val="22"/>
              </w:rPr>
              <w:t xml:space="preserve"> ask questions for more information or to build understanding</w:t>
            </w:r>
            <w:r>
              <w:rPr>
                <w:color w:val="000000"/>
                <w:sz w:val="22"/>
                <w:szCs w:val="22"/>
              </w:rPr>
              <w:t>.</w:t>
            </w:r>
          </w:p>
        </w:tc>
        <w:tc>
          <w:tcPr>
            <w:tcW w:w="2448" w:type="dxa"/>
          </w:tcPr>
          <w:p w14:paraId="4F40BF61" w14:textId="77777777" w:rsidR="001D3205" w:rsidRPr="00AE6ECF" w:rsidRDefault="001D3205" w:rsidP="003E22A7">
            <w:pPr>
              <w:pBdr>
                <w:top w:val="nil"/>
                <w:left w:val="nil"/>
                <w:bottom w:val="nil"/>
                <w:right w:val="nil"/>
                <w:between w:val="nil"/>
              </w:pBdr>
              <w:rPr>
                <w:color w:val="000000"/>
                <w:sz w:val="22"/>
                <w:szCs w:val="18"/>
              </w:rPr>
            </w:pPr>
          </w:p>
        </w:tc>
      </w:tr>
      <w:tr w:rsidR="00515E23" w:rsidRPr="00AE6ECF" w14:paraId="3C90002A" w14:textId="77777777" w:rsidTr="00FC6044">
        <w:trPr>
          <w:trHeight w:val="835"/>
        </w:trPr>
        <w:tc>
          <w:tcPr>
            <w:tcW w:w="3600" w:type="dxa"/>
            <w:vMerge w:val="restart"/>
            <w:shd w:val="clear" w:color="auto" w:fill="auto"/>
          </w:tcPr>
          <w:p w14:paraId="29F00F4A" w14:textId="77777777" w:rsidR="00515E23" w:rsidRPr="00AE6ECF" w:rsidRDefault="00515E23" w:rsidP="00AE6ECF">
            <w:pPr>
              <w:numPr>
                <w:ilvl w:val="0"/>
                <w:numId w:val="14"/>
              </w:numPr>
              <w:pBdr>
                <w:top w:val="nil"/>
                <w:left w:val="nil"/>
                <w:bottom w:val="nil"/>
                <w:right w:val="nil"/>
                <w:between w:val="nil"/>
              </w:pBdr>
              <w:rPr>
                <w:color w:val="000000"/>
                <w:sz w:val="22"/>
                <w:szCs w:val="18"/>
              </w:rPr>
            </w:pPr>
            <w:r w:rsidRPr="00AE6ECF">
              <w:rPr>
                <w:b/>
                <w:color w:val="000000"/>
                <w:sz w:val="22"/>
                <w:szCs w:val="18"/>
              </w:rPr>
              <w:t>The instruction is designed to support the student’s active participation.</w:t>
            </w:r>
          </w:p>
        </w:tc>
        <w:tc>
          <w:tcPr>
            <w:tcW w:w="432" w:type="dxa"/>
            <w:vAlign w:val="center"/>
          </w:tcPr>
          <w:p w14:paraId="02411319"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15864E9F"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5C82E781"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24F8241F"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3A0FF5F2" w14:textId="2A7915AB" w:rsidR="00515E23" w:rsidRPr="00AE6ECF" w:rsidRDefault="00515E23" w:rsidP="005610DC">
            <w:pPr>
              <w:pBdr>
                <w:top w:val="nil"/>
                <w:left w:val="nil"/>
                <w:bottom w:val="nil"/>
                <w:right w:val="nil"/>
                <w:between w:val="nil"/>
              </w:pBdr>
              <w:ind w:left="360"/>
              <w:jc w:val="center"/>
              <w:rPr>
                <w:color w:val="000000"/>
                <w:sz w:val="22"/>
                <w:szCs w:val="18"/>
              </w:rPr>
            </w:pPr>
          </w:p>
        </w:tc>
        <w:tc>
          <w:tcPr>
            <w:tcW w:w="5328" w:type="dxa"/>
            <w:shd w:val="clear" w:color="auto" w:fill="auto"/>
          </w:tcPr>
          <w:p w14:paraId="58B4F38E" w14:textId="2A89E0B5" w:rsidR="00515E23" w:rsidRPr="00515E23" w:rsidRDefault="00515E23" w:rsidP="00515E23">
            <w:pPr>
              <w:numPr>
                <w:ilvl w:val="0"/>
                <w:numId w:val="12"/>
              </w:numPr>
              <w:pBdr>
                <w:top w:val="nil"/>
                <w:left w:val="nil"/>
                <w:bottom w:val="nil"/>
                <w:right w:val="nil"/>
                <w:between w:val="nil"/>
              </w:pBdr>
              <w:rPr>
                <w:color w:val="000000"/>
                <w:sz w:val="22"/>
                <w:szCs w:val="18"/>
              </w:rPr>
            </w:pPr>
            <w:r>
              <w:rPr>
                <w:color w:val="000000"/>
                <w:sz w:val="22"/>
                <w:szCs w:val="18"/>
              </w:rPr>
              <w:t>A</w:t>
            </w:r>
            <w:r w:rsidRPr="00AE6ECF">
              <w:rPr>
                <w:color w:val="000000"/>
                <w:sz w:val="22"/>
                <w:szCs w:val="18"/>
              </w:rPr>
              <w:t>ccommodations are built into the lesson or designed for the student’s individual access and participation</w:t>
            </w:r>
            <w:r>
              <w:rPr>
                <w:color w:val="000000"/>
                <w:sz w:val="22"/>
                <w:szCs w:val="18"/>
              </w:rPr>
              <w:t>.</w:t>
            </w:r>
          </w:p>
          <w:p w14:paraId="2BA226A1" w14:textId="77777777" w:rsidR="00515E23" w:rsidRPr="00923A64" w:rsidRDefault="00515E23" w:rsidP="00923A64">
            <w:pPr>
              <w:pBdr>
                <w:top w:val="nil"/>
                <w:left w:val="nil"/>
                <w:bottom w:val="nil"/>
                <w:right w:val="nil"/>
                <w:between w:val="nil"/>
              </w:pBdr>
              <w:rPr>
                <w:color w:val="000000"/>
                <w:sz w:val="10"/>
                <w:szCs w:val="18"/>
              </w:rPr>
            </w:pPr>
          </w:p>
        </w:tc>
        <w:tc>
          <w:tcPr>
            <w:tcW w:w="2448" w:type="dxa"/>
          </w:tcPr>
          <w:p w14:paraId="17AD93B2" w14:textId="77777777" w:rsidR="00515E23" w:rsidRPr="00AE6ECF" w:rsidRDefault="00515E23" w:rsidP="00AE6ECF">
            <w:pPr>
              <w:pBdr>
                <w:top w:val="nil"/>
                <w:left w:val="nil"/>
                <w:bottom w:val="nil"/>
                <w:right w:val="nil"/>
                <w:between w:val="nil"/>
              </w:pBdr>
              <w:ind w:left="360"/>
              <w:rPr>
                <w:color w:val="000000"/>
                <w:sz w:val="22"/>
                <w:szCs w:val="18"/>
              </w:rPr>
            </w:pPr>
          </w:p>
        </w:tc>
      </w:tr>
      <w:tr w:rsidR="00515E23" w:rsidRPr="00AE6ECF" w14:paraId="6C9050A1" w14:textId="77777777" w:rsidTr="00515E23">
        <w:trPr>
          <w:trHeight w:val="647"/>
        </w:trPr>
        <w:tc>
          <w:tcPr>
            <w:tcW w:w="3600" w:type="dxa"/>
            <w:vMerge/>
            <w:shd w:val="clear" w:color="auto" w:fill="auto"/>
          </w:tcPr>
          <w:p w14:paraId="4535E02E" w14:textId="77777777" w:rsidR="00515E23" w:rsidRPr="00AE6ECF" w:rsidRDefault="00515E23" w:rsidP="00AE6ECF">
            <w:pPr>
              <w:numPr>
                <w:ilvl w:val="0"/>
                <w:numId w:val="14"/>
              </w:numPr>
              <w:pBdr>
                <w:top w:val="nil"/>
                <w:left w:val="nil"/>
                <w:bottom w:val="nil"/>
                <w:right w:val="nil"/>
                <w:between w:val="nil"/>
              </w:pBdr>
              <w:rPr>
                <w:b/>
                <w:color w:val="000000"/>
                <w:sz w:val="22"/>
                <w:szCs w:val="18"/>
              </w:rPr>
            </w:pPr>
          </w:p>
        </w:tc>
        <w:tc>
          <w:tcPr>
            <w:tcW w:w="432" w:type="dxa"/>
            <w:vAlign w:val="center"/>
          </w:tcPr>
          <w:p w14:paraId="490F1227"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62384D04"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24EF6D0B"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103709A1"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3EE6260B" w14:textId="08192E3A" w:rsidR="00515E23" w:rsidRPr="00AE6ECF" w:rsidRDefault="00515E23" w:rsidP="005610DC">
            <w:pPr>
              <w:pBdr>
                <w:top w:val="nil"/>
                <w:left w:val="nil"/>
                <w:bottom w:val="nil"/>
                <w:right w:val="nil"/>
                <w:between w:val="nil"/>
              </w:pBdr>
              <w:ind w:left="360"/>
              <w:jc w:val="center"/>
              <w:rPr>
                <w:color w:val="000000"/>
                <w:sz w:val="22"/>
                <w:szCs w:val="18"/>
              </w:rPr>
            </w:pPr>
          </w:p>
        </w:tc>
        <w:tc>
          <w:tcPr>
            <w:tcW w:w="5328" w:type="dxa"/>
            <w:shd w:val="clear" w:color="auto" w:fill="auto"/>
          </w:tcPr>
          <w:p w14:paraId="1E4E4BF7" w14:textId="1D603613" w:rsidR="00515E23" w:rsidRPr="00515E23" w:rsidRDefault="00515E23" w:rsidP="00515E23">
            <w:pPr>
              <w:numPr>
                <w:ilvl w:val="0"/>
                <w:numId w:val="12"/>
              </w:numPr>
              <w:pBdr>
                <w:top w:val="nil"/>
                <w:left w:val="nil"/>
                <w:bottom w:val="nil"/>
                <w:right w:val="nil"/>
                <w:between w:val="nil"/>
              </w:pBdr>
              <w:rPr>
                <w:color w:val="000000"/>
                <w:sz w:val="22"/>
                <w:szCs w:val="18"/>
              </w:rPr>
            </w:pPr>
            <w:r>
              <w:rPr>
                <w:color w:val="000000"/>
                <w:sz w:val="22"/>
                <w:szCs w:val="18"/>
              </w:rPr>
              <w:t>There is evidence of a sy</w:t>
            </w:r>
            <w:r w:rsidRPr="006F54CA">
              <w:rPr>
                <w:color w:val="000000"/>
                <w:sz w:val="22"/>
                <w:szCs w:val="18"/>
              </w:rPr>
              <w:t>stem or strategy</w:t>
            </w:r>
            <w:r>
              <w:rPr>
                <w:color w:val="000000"/>
                <w:sz w:val="22"/>
                <w:szCs w:val="18"/>
              </w:rPr>
              <w:t xml:space="preserve"> used to modify the instruction.</w:t>
            </w:r>
          </w:p>
        </w:tc>
        <w:tc>
          <w:tcPr>
            <w:tcW w:w="2448" w:type="dxa"/>
          </w:tcPr>
          <w:p w14:paraId="3CC4FFA6" w14:textId="77777777" w:rsidR="00515E23" w:rsidRPr="00AE6ECF" w:rsidRDefault="00515E23" w:rsidP="00AE6ECF">
            <w:pPr>
              <w:pBdr>
                <w:top w:val="nil"/>
                <w:left w:val="nil"/>
                <w:bottom w:val="nil"/>
                <w:right w:val="nil"/>
                <w:between w:val="nil"/>
              </w:pBdr>
              <w:ind w:left="360"/>
              <w:rPr>
                <w:color w:val="000000"/>
                <w:sz w:val="22"/>
                <w:szCs w:val="18"/>
              </w:rPr>
            </w:pPr>
          </w:p>
        </w:tc>
      </w:tr>
      <w:tr w:rsidR="00515E23" w:rsidRPr="00AE6ECF" w14:paraId="4E6F50D9" w14:textId="77777777" w:rsidTr="00515E23">
        <w:trPr>
          <w:trHeight w:val="620"/>
        </w:trPr>
        <w:tc>
          <w:tcPr>
            <w:tcW w:w="3600" w:type="dxa"/>
            <w:vMerge/>
            <w:shd w:val="clear" w:color="auto" w:fill="auto"/>
          </w:tcPr>
          <w:p w14:paraId="77721BB5" w14:textId="77777777" w:rsidR="00515E23" w:rsidRPr="00AE6ECF" w:rsidRDefault="00515E23" w:rsidP="00AE6ECF">
            <w:pPr>
              <w:numPr>
                <w:ilvl w:val="0"/>
                <w:numId w:val="14"/>
              </w:numPr>
              <w:pBdr>
                <w:top w:val="nil"/>
                <w:left w:val="nil"/>
                <w:bottom w:val="nil"/>
                <w:right w:val="nil"/>
                <w:between w:val="nil"/>
              </w:pBdr>
              <w:rPr>
                <w:b/>
                <w:color w:val="000000"/>
                <w:sz w:val="22"/>
                <w:szCs w:val="18"/>
              </w:rPr>
            </w:pPr>
          </w:p>
        </w:tc>
        <w:tc>
          <w:tcPr>
            <w:tcW w:w="432" w:type="dxa"/>
            <w:vAlign w:val="center"/>
          </w:tcPr>
          <w:p w14:paraId="3C9F27B9"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40C3C889"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31F111ED"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084988FE"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6F9DEC42" w14:textId="5BADFBBB" w:rsidR="00515E23" w:rsidRPr="00AE6ECF" w:rsidRDefault="00515E23" w:rsidP="005610DC">
            <w:pPr>
              <w:pBdr>
                <w:top w:val="nil"/>
                <w:left w:val="nil"/>
                <w:bottom w:val="nil"/>
                <w:right w:val="nil"/>
                <w:between w:val="nil"/>
              </w:pBdr>
              <w:ind w:left="360"/>
              <w:jc w:val="center"/>
              <w:rPr>
                <w:color w:val="000000"/>
                <w:sz w:val="22"/>
                <w:szCs w:val="18"/>
              </w:rPr>
            </w:pPr>
          </w:p>
        </w:tc>
        <w:tc>
          <w:tcPr>
            <w:tcW w:w="5328" w:type="dxa"/>
            <w:shd w:val="clear" w:color="auto" w:fill="auto"/>
          </w:tcPr>
          <w:p w14:paraId="187D8369" w14:textId="0F072789" w:rsidR="00515E23" w:rsidRDefault="00515E23" w:rsidP="006F54CA">
            <w:pPr>
              <w:numPr>
                <w:ilvl w:val="0"/>
                <w:numId w:val="12"/>
              </w:numPr>
              <w:pBdr>
                <w:top w:val="nil"/>
                <w:left w:val="nil"/>
                <w:bottom w:val="nil"/>
                <w:right w:val="nil"/>
                <w:between w:val="nil"/>
              </w:pBdr>
              <w:rPr>
                <w:color w:val="000000"/>
                <w:sz w:val="22"/>
                <w:szCs w:val="18"/>
              </w:rPr>
            </w:pPr>
            <w:r>
              <w:rPr>
                <w:color w:val="000000"/>
                <w:sz w:val="22"/>
                <w:szCs w:val="18"/>
              </w:rPr>
              <w:t>Specific</w:t>
            </w:r>
            <w:r w:rsidRPr="00AE6ECF">
              <w:rPr>
                <w:color w:val="000000"/>
                <w:sz w:val="22"/>
                <w:szCs w:val="18"/>
              </w:rPr>
              <w:t xml:space="preserve"> strategies are used to engage and elicit respons</w:t>
            </w:r>
            <w:r>
              <w:rPr>
                <w:color w:val="000000"/>
                <w:sz w:val="22"/>
                <w:szCs w:val="18"/>
              </w:rPr>
              <w:t>es and support student learning.</w:t>
            </w:r>
          </w:p>
        </w:tc>
        <w:tc>
          <w:tcPr>
            <w:tcW w:w="2448" w:type="dxa"/>
          </w:tcPr>
          <w:p w14:paraId="2227081F" w14:textId="77777777" w:rsidR="00515E23" w:rsidRPr="00AE6ECF" w:rsidRDefault="00515E23" w:rsidP="00AE6ECF">
            <w:pPr>
              <w:pBdr>
                <w:top w:val="nil"/>
                <w:left w:val="nil"/>
                <w:bottom w:val="nil"/>
                <w:right w:val="nil"/>
                <w:between w:val="nil"/>
              </w:pBdr>
              <w:ind w:left="360"/>
              <w:rPr>
                <w:color w:val="000000"/>
                <w:sz w:val="22"/>
                <w:szCs w:val="18"/>
              </w:rPr>
            </w:pPr>
          </w:p>
        </w:tc>
      </w:tr>
      <w:tr w:rsidR="00515E23" w:rsidRPr="00AE6ECF" w14:paraId="5E234E19" w14:textId="77777777" w:rsidTr="00515E23">
        <w:trPr>
          <w:trHeight w:val="665"/>
        </w:trPr>
        <w:tc>
          <w:tcPr>
            <w:tcW w:w="3600" w:type="dxa"/>
            <w:vMerge w:val="restart"/>
            <w:shd w:val="clear" w:color="auto" w:fill="auto"/>
          </w:tcPr>
          <w:p w14:paraId="23113E78" w14:textId="77777777" w:rsidR="00515E23" w:rsidRPr="00AE6ECF" w:rsidRDefault="00515E23" w:rsidP="00AE6ECF">
            <w:pPr>
              <w:numPr>
                <w:ilvl w:val="0"/>
                <w:numId w:val="14"/>
              </w:numPr>
              <w:pBdr>
                <w:top w:val="nil"/>
                <w:left w:val="nil"/>
                <w:bottom w:val="nil"/>
                <w:right w:val="nil"/>
                <w:between w:val="nil"/>
              </w:pBdr>
              <w:rPr>
                <w:color w:val="000000"/>
                <w:sz w:val="22"/>
                <w:szCs w:val="18"/>
              </w:rPr>
            </w:pPr>
            <w:r>
              <w:rPr>
                <w:b/>
                <w:color w:val="000000"/>
                <w:sz w:val="22"/>
                <w:szCs w:val="18"/>
              </w:rPr>
              <w:t>G</w:t>
            </w:r>
            <w:r w:rsidRPr="00AE6ECF">
              <w:rPr>
                <w:b/>
                <w:color w:val="000000"/>
                <w:sz w:val="22"/>
                <w:szCs w:val="18"/>
              </w:rPr>
              <w:t>rade-level state standards</w:t>
            </w:r>
            <w:r>
              <w:rPr>
                <w:b/>
                <w:color w:val="000000"/>
                <w:sz w:val="22"/>
                <w:szCs w:val="18"/>
              </w:rPr>
              <w:t xml:space="preserve"> are</w:t>
            </w:r>
            <w:r w:rsidRPr="00AE6ECF">
              <w:rPr>
                <w:b/>
                <w:color w:val="000000"/>
                <w:sz w:val="22"/>
                <w:szCs w:val="18"/>
              </w:rPr>
              <w:t xml:space="preserve"> broken down into smaller skills, steps, or units </w:t>
            </w:r>
            <w:r>
              <w:rPr>
                <w:b/>
                <w:color w:val="000000"/>
                <w:sz w:val="22"/>
                <w:szCs w:val="18"/>
              </w:rPr>
              <w:t>to support student learning.</w:t>
            </w:r>
          </w:p>
        </w:tc>
        <w:tc>
          <w:tcPr>
            <w:tcW w:w="432" w:type="dxa"/>
            <w:vAlign w:val="center"/>
          </w:tcPr>
          <w:p w14:paraId="1D46ECB7"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44F3E10D"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5B0D8EE1"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322F41CE"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02F2C34E" w14:textId="76DD27A5" w:rsidR="00515E23" w:rsidRPr="00AE6ECF" w:rsidRDefault="00515E23" w:rsidP="005610DC">
            <w:pPr>
              <w:pBdr>
                <w:top w:val="nil"/>
                <w:left w:val="nil"/>
                <w:bottom w:val="nil"/>
                <w:right w:val="nil"/>
                <w:between w:val="nil"/>
              </w:pBdr>
              <w:ind w:left="360"/>
              <w:jc w:val="center"/>
              <w:rPr>
                <w:color w:val="000000"/>
                <w:sz w:val="22"/>
                <w:szCs w:val="18"/>
              </w:rPr>
            </w:pPr>
          </w:p>
        </w:tc>
        <w:tc>
          <w:tcPr>
            <w:tcW w:w="5328" w:type="dxa"/>
            <w:shd w:val="clear" w:color="auto" w:fill="auto"/>
          </w:tcPr>
          <w:p w14:paraId="19219836" w14:textId="448DB5BE" w:rsidR="00515E23" w:rsidRPr="00515E23" w:rsidRDefault="00515E23" w:rsidP="00515E23">
            <w:pPr>
              <w:numPr>
                <w:ilvl w:val="0"/>
                <w:numId w:val="17"/>
              </w:numPr>
              <w:pBdr>
                <w:top w:val="nil"/>
                <w:left w:val="nil"/>
                <w:bottom w:val="nil"/>
                <w:right w:val="nil"/>
                <w:between w:val="nil"/>
              </w:pBdr>
              <w:rPr>
                <w:color w:val="000000" w:themeColor="text1"/>
                <w:sz w:val="22"/>
                <w:szCs w:val="22"/>
              </w:rPr>
            </w:pPr>
            <w:r w:rsidRPr="5EB5728B">
              <w:rPr>
                <w:color w:val="000000" w:themeColor="text1"/>
                <w:sz w:val="22"/>
                <w:szCs w:val="22"/>
              </w:rPr>
              <w:t>Modifications</w:t>
            </w:r>
            <w:r>
              <w:rPr>
                <w:color w:val="000000" w:themeColor="text1"/>
                <w:sz w:val="22"/>
                <w:szCs w:val="22"/>
              </w:rPr>
              <w:t xml:space="preserve"> are</w:t>
            </w:r>
            <w:r w:rsidRPr="5EB5728B">
              <w:rPr>
                <w:color w:val="000000" w:themeColor="text1"/>
                <w:sz w:val="22"/>
                <w:szCs w:val="22"/>
              </w:rPr>
              <w:t xml:space="preserve"> directly aligned to the grade-level standards.</w:t>
            </w:r>
          </w:p>
        </w:tc>
        <w:tc>
          <w:tcPr>
            <w:tcW w:w="2448" w:type="dxa"/>
          </w:tcPr>
          <w:p w14:paraId="296FEF7D" w14:textId="77777777" w:rsidR="00515E23" w:rsidRPr="00AE6ECF" w:rsidRDefault="00515E23" w:rsidP="00AE6ECF">
            <w:pPr>
              <w:pBdr>
                <w:top w:val="nil"/>
                <w:left w:val="nil"/>
                <w:bottom w:val="nil"/>
                <w:right w:val="nil"/>
                <w:between w:val="nil"/>
              </w:pBdr>
              <w:ind w:left="360"/>
              <w:rPr>
                <w:color w:val="000000"/>
                <w:sz w:val="22"/>
                <w:szCs w:val="18"/>
              </w:rPr>
            </w:pPr>
          </w:p>
        </w:tc>
      </w:tr>
      <w:tr w:rsidR="00515E23" w:rsidRPr="00AE6ECF" w14:paraId="572BAA07" w14:textId="77777777" w:rsidTr="006874E8">
        <w:trPr>
          <w:trHeight w:val="1035"/>
        </w:trPr>
        <w:tc>
          <w:tcPr>
            <w:tcW w:w="3600" w:type="dxa"/>
            <w:vMerge/>
            <w:shd w:val="clear" w:color="auto" w:fill="auto"/>
          </w:tcPr>
          <w:p w14:paraId="5AD574C0" w14:textId="77777777" w:rsidR="00515E23" w:rsidRDefault="00515E23" w:rsidP="00AE6ECF">
            <w:pPr>
              <w:numPr>
                <w:ilvl w:val="0"/>
                <w:numId w:val="14"/>
              </w:numPr>
              <w:pBdr>
                <w:top w:val="nil"/>
                <w:left w:val="nil"/>
                <w:bottom w:val="nil"/>
                <w:right w:val="nil"/>
                <w:between w:val="nil"/>
              </w:pBdr>
              <w:rPr>
                <w:b/>
                <w:color w:val="000000"/>
                <w:sz w:val="22"/>
                <w:szCs w:val="18"/>
              </w:rPr>
            </w:pPr>
          </w:p>
        </w:tc>
        <w:tc>
          <w:tcPr>
            <w:tcW w:w="432" w:type="dxa"/>
            <w:vAlign w:val="center"/>
          </w:tcPr>
          <w:p w14:paraId="124043DE"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46785531"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116925D3"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09DCCE25"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49ECCB28" w14:textId="3122771C" w:rsidR="00515E23" w:rsidRPr="00AE6ECF" w:rsidRDefault="00515E23" w:rsidP="005610DC">
            <w:pPr>
              <w:pBdr>
                <w:top w:val="nil"/>
                <w:left w:val="nil"/>
                <w:bottom w:val="nil"/>
                <w:right w:val="nil"/>
                <w:between w:val="nil"/>
              </w:pBdr>
              <w:ind w:left="360"/>
              <w:jc w:val="center"/>
              <w:rPr>
                <w:color w:val="000000"/>
                <w:sz w:val="22"/>
                <w:szCs w:val="18"/>
              </w:rPr>
            </w:pPr>
          </w:p>
        </w:tc>
        <w:tc>
          <w:tcPr>
            <w:tcW w:w="5328" w:type="dxa"/>
            <w:shd w:val="clear" w:color="auto" w:fill="auto"/>
          </w:tcPr>
          <w:p w14:paraId="1C3A9C78" w14:textId="47284DED" w:rsidR="00515E23" w:rsidRPr="00515E23" w:rsidRDefault="00515E23" w:rsidP="00515E23">
            <w:pPr>
              <w:numPr>
                <w:ilvl w:val="0"/>
                <w:numId w:val="17"/>
              </w:numPr>
              <w:pBdr>
                <w:top w:val="nil"/>
                <w:left w:val="nil"/>
                <w:bottom w:val="nil"/>
                <w:right w:val="nil"/>
                <w:between w:val="nil"/>
              </w:pBdr>
              <w:rPr>
                <w:color w:val="000000"/>
                <w:sz w:val="22"/>
                <w:szCs w:val="18"/>
              </w:rPr>
            </w:pPr>
            <w:r>
              <w:rPr>
                <w:color w:val="000000"/>
                <w:sz w:val="22"/>
                <w:szCs w:val="18"/>
              </w:rPr>
              <w:t xml:space="preserve">Planning reflects the belief that all students will make progress towards grade-level standards, </w:t>
            </w:r>
            <w:r w:rsidRPr="00AE6ECF">
              <w:rPr>
                <w:color w:val="000000"/>
                <w:sz w:val="22"/>
                <w:szCs w:val="18"/>
              </w:rPr>
              <w:t>incorporating accommodati</w:t>
            </w:r>
            <w:r>
              <w:rPr>
                <w:color w:val="000000"/>
                <w:sz w:val="22"/>
                <w:szCs w:val="18"/>
              </w:rPr>
              <w:t>ons and modifications as needed.</w:t>
            </w:r>
          </w:p>
        </w:tc>
        <w:tc>
          <w:tcPr>
            <w:tcW w:w="2448" w:type="dxa"/>
          </w:tcPr>
          <w:p w14:paraId="0F916065" w14:textId="77777777" w:rsidR="00515E23" w:rsidRPr="00AE6ECF" w:rsidRDefault="00515E23" w:rsidP="00AE6ECF">
            <w:pPr>
              <w:pBdr>
                <w:top w:val="nil"/>
                <w:left w:val="nil"/>
                <w:bottom w:val="nil"/>
                <w:right w:val="nil"/>
                <w:between w:val="nil"/>
              </w:pBdr>
              <w:ind w:left="360"/>
              <w:rPr>
                <w:color w:val="000000"/>
                <w:sz w:val="22"/>
                <w:szCs w:val="18"/>
              </w:rPr>
            </w:pPr>
          </w:p>
        </w:tc>
      </w:tr>
      <w:tr w:rsidR="00515E23" w:rsidRPr="00AE6ECF" w14:paraId="4042192C" w14:textId="77777777" w:rsidTr="00B00A73">
        <w:trPr>
          <w:trHeight w:val="1583"/>
        </w:trPr>
        <w:tc>
          <w:tcPr>
            <w:tcW w:w="3600" w:type="dxa"/>
            <w:vMerge w:val="restart"/>
            <w:shd w:val="clear" w:color="auto" w:fill="auto"/>
          </w:tcPr>
          <w:p w14:paraId="395E72EA" w14:textId="77777777" w:rsidR="00515E23" w:rsidRPr="00923A64" w:rsidRDefault="00515E23" w:rsidP="001538F7">
            <w:pPr>
              <w:numPr>
                <w:ilvl w:val="0"/>
                <w:numId w:val="14"/>
              </w:numPr>
              <w:pBdr>
                <w:top w:val="nil"/>
                <w:left w:val="nil"/>
                <w:bottom w:val="nil"/>
                <w:right w:val="nil"/>
                <w:between w:val="nil"/>
              </w:pBdr>
              <w:rPr>
                <w:color w:val="000000"/>
                <w:sz w:val="22"/>
                <w:szCs w:val="18"/>
              </w:rPr>
            </w:pPr>
            <w:r>
              <w:rPr>
                <w:b/>
                <w:color w:val="000000"/>
                <w:sz w:val="22"/>
                <w:szCs w:val="18"/>
              </w:rPr>
              <w:t>T</w:t>
            </w:r>
            <w:r w:rsidRPr="00AE6ECF">
              <w:rPr>
                <w:b/>
                <w:color w:val="000000"/>
                <w:sz w:val="22"/>
                <w:szCs w:val="18"/>
              </w:rPr>
              <w:t xml:space="preserve">he IEP </w:t>
            </w:r>
            <w:r>
              <w:rPr>
                <w:b/>
                <w:color w:val="000000"/>
                <w:sz w:val="22"/>
                <w:szCs w:val="18"/>
              </w:rPr>
              <w:t>indicates</w:t>
            </w:r>
            <w:r w:rsidRPr="00AE6ECF">
              <w:rPr>
                <w:b/>
                <w:color w:val="000000"/>
                <w:sz w:val="22"/>
                <w:szCs w:val="18"/>
              </w:rPr>
              <w:t xml:space="preserve"> where, when, and how the student will actively participate in instruc</w:t>
            </w:r>
            <w:r>
              <w:rPr>
                <w:b/>
                <w:color w:val="000000"/>
                <w:sz w:val="22"/>
                <w:szCs w:val="18"/>
              </w:rPr>
              <w:t>tion aligned to state standards.</w:t>
            </w:r>
          </w:p>
          <w:p w14:paraId="151B3D3E" w14:textId="77777777" w:rsidR="00515E23" w:rsidRDefault="00515E23" w:rsidP="00923A64">
            <w:pPr>
              <w:pBdr>
                <w:top w:val="nil"/>
                <w:left w:val="nil"/>
                <w:bottom w:val="nil"/>
                <w:right w:val="nil"/>
                <w:between w:val="nil"/>
              </w:pBdr>
              <w:ind w:left="360"/>
              <w:rPr>
                <w:i/>
                <w:color w:val="000000"/>
                <w:sz w:val="22"/>
                <w:szCs w:val="18"/>
              </w:rPr>
            </w:pPr>
            <w:r w:rsidRPr="00923A64">
              <w:rPr>
                <w:i/>
                <w:color w:val="000000"/>
                <w:sz w:val="22"/>
                <w:szCs w:val="18"/>
              </w:rPr>
              <w:t xml:space="preserve">(All students, regardless of </w:t>
            </w:r>
            <w:r w:rsidRPr="00923A64">
              <w:rPr>
                <w:i/>
                <w:color w:val="000000"/>
                <w:sz w:val="22"/>
                <w:szCs w:val="18"/>
              </w:rPr>
              <w:lastRenderedPageBreak/>
              <w:t>least restrictive environment (LRE), should be provided meaningful instruction aligned to grade-level standards.)</w:t>
            </w:r>
          </w:p>
          <w:p w14:paraId="7194DBDC" w14:textId="77777777" w:rsidR="00515E23" w:rsidRPr="00923A64" w:rsidRDefault="00515E23" w:rsidP="00923A64">
            <w:pPr>
              <w:pBdr>
                <w:top w:val="nil"/>
                <w:left w:val="nil"/>
                <w:bottom w:val="nil"/>
                <w:right w:val="nil"/>
                <w:between w:val="nil"/>
              </w:pBdr>
              <w:ind w:left="360"/>
              <w:rPr>
                <w:i/>
                <w:color w:val="000000"/>
                <w:sz w:val="12"/>
                <w:szCs w:val="18"/>
              </w:rPr>
            </w:pPr>
          </w:p>
        </w:tc>
        <w:tc>
          <w:tcPr>
            <w:tcW w:w="432" w:type="dxa"/>
            <w:vAlign w:val="center"/>
          </w:tcPr>
          <w:p w14:paraId="4EABD260"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30B27DCC"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4A90DB8B"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32433492"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30D7AA69" w14:textId="1F77B6C8" w:rsidR="00515E23" w:rsidRPr="00AE6ECF" w:rsidRDefault="00515E23" w:rsidP="005610DC">
            <w:pPr>
              <w:pBdr>
                <w:top w:val="nil"/>
                <w:left w:val="nil"/>
                <w:bottom w:val="nil"/>
                <w:right w:val="nil"/>
                <w:between w:val="nil"/>
              </w:pBdr>
              <w:ind w:left="360"/>
              <w:jc w:val="center"/>
              <w:rPr>
                <w:color w:val="000000"/>
                <w:sz w:val="22"/>
                <w:szCs w:val="18"/>
              </w:rPr>
            </w:pPr>
          </w:p>
        </w:tc>
        <w:tc>
          <w:tcPr>
            <w:tcW w:w="5328" w:type="dxa"/>
            <w:shd w:val="clear" w:color="auto" w:fill="auto"/>
          </w:tcPr>
          <w:p w14:paraId="6C093435" w14:textId="77777777" w:rsidR="00515E23" w:rsidRPr="00AE6ECF" w:rsidRDefault="00515E23" w:rsidP="00AE6ECF">
            <w:pPr>
              <w:numPr>
                <w:ilvl w:val="0"/>
                <w:numId w:val="13"/>
              </w:numPr>
              <w:pBdr>
                <w:top w:val="nil"/>
                <w:left w:val="nil"/>
                <w:bottom w:val="nil"/>
                <w:right w:val="nil"/>
                <w:between w:val="nil"/>
              </w:pBdr>
              <w:rPr>
                <w:color w:val="000000"/>
                <w:sz w:val="22"/>
                <w:szCs w:val="18"/>
              </w:rPr>
            </w:pPr>
            <w:r>
              <w:rPr>
                <w:color w:val="000000"/>
                <w:sz w:val="22"/>
                <w:szCs w:val="18"/>
              </w:rPr>
              <w:t>The IEP clearly addresses</w:t>
            </w:r>
            <w:r w:rsidRPr="00AE6ECF">
              <w:rPr>
                <w:color w:val="000000"/>
                <w:sz w:val="22"/>
                <w:szCs w:val="18"/>
              </w:rPr>
              <w:t xml:space="preserve"> participation in ELA, math, </w:t>
            </w:r>
            <w:proofErr w:type="gramStart"/>
            <w:r w:rsidRPr="00AE6ECF">
              <w:rPr>
                <w:color w:val="000000"/>
                <w:sz w:val="22"/>
                <w:szCs w:val="18"/>
              </w:rPr>
              <w:t>science</w:t>
            </w:r>
            <w:proofErr w:type="gramEnd"/>
            <w:r w:rsidRPr="00AE6ECF">
              <w:rPr>
                <w:color w:val="000000"/>
                <w:sz w:val="22"/>
                <w:szCs w:val="18"/>
              </w:rPr>
              <w:t xml:space="preserve"> and social studies</w:t>
            </w:r>
            <w:r>
              <w:rPr>
                <w:color w:val="000000"/>
                <w:sz w:val="22"/>
                <w:szCs w:val="18"/>
              </w:rPr>
              <w:t>.</w:t>
            </w:r>
            <w:r w:rsidRPr="00AE6ECF">
              <w:rPr>
                <w:color w:val="000000"/>
                <w:sz w:val="22"/>
                <w:szCs w:val="18"/>
              </w:rPr>
              <w:t xml:space="preserve"> </w:t>
            </w:r>
          </w:p>
          <w:p w14:paraId="6C40B34E" w14:textId="77777777" w:rsidR="00515E23" w:rsidRPr="00AE6ECF" w:rsidRDefault="00515E23" w:rsidP="00AE6ECF">
            <w:pPr>
              <w:numPr>
                <w:ilvl w:val="0"/>
                <w:numId w:val="18"/>
              </w:numPr>
              <w:pBdr>
                <w:top w:val="nil"/>
                <w:left w:val="nil"/>
                <w:bottom w:val="nil"/>
                <w:right w:val="nil"/>
                <w:between w:val="nil"/>
              </w:pBdr>
              <w:rPr>
                <w:i/>
                <w:color w:val="000000"/>
                <w:sz w:val="22"/>
                <w:szCs w:val="18"/>
              </w:rPr>
            </w:pPr>
            <w:r w:rsidRPr="00AE6ECF">
              <w:rPr>
                <w:i/>
                <w:color w:val="000000"/>
                <w:sz w:val="22"/>
                <w:szCs w:val="18"/>
              </w:rPr>
              <w:t>Clear indication of where the student will be taught standards-based instruction</w:t>
            </w:r>
          </w:p>
          <w:p w14:paraId="02025048" w14:textId="6A7308BC" w:rsidR="00515E23" w:rsidRPr="00515E23" w:rsidRDefault="00515E23" w:rsidP="00515E23">
            <w:pPr>
              <w:numPr>
                <w:ilvl w:val="0"/>
                <w:numId w:val="18"/>
              </w:numPr>
              <w:pBdr>
                <w:top w:val="nil"/>
                <w:left w:val="nil"/>
                <w:bottom w:val="nil"/>
                <w:right w:val="nil"/>
                <w:between w:val="nil"/>
              </w:pBdr>
              <w:rPr>
                <w:i/>
                <w:color w:val="000000"/>
                <w:sz w:val="22"/>
                <w:szCs w:val="18"/>
              </w:rPr>
            </w:pPr>
            <w:r w:rsidRPr="00AE6ECF">
              <w:rPr>
                <w:i/>
                <w:color w:val="000000"/>
                <w:sz w:val="22"/>
                <w:szCs w:val="18"/>
              </w:rPr>
              <w:t>Clear indication of who, if anyone, is needed to support</w:t>
            </w:r>
          </w:p>
        </w:tc>
        <w:tc>
          <w:tcPr>
            <w:tcW w:w="2448" w:type="dxa"/>
          </w:tcPr>
          <w:p w14:paraId="34FF1C98" w14:textId="77777777" w:rsidR="00515E23" w:rsidRPr="00AE6ECF" w:rsidRDefault="00515E23" w:rsidP="00AE6ECF">
            <w:pPr>
              <w:pBdr>
                <w:top w:val="nil"/>
                <w:left w:val="nil"/>
                <w:bottom w:val="nil"/>
                <w:right w:val="nil"/>
                <w:between w:val="nil"/>
              </w:pBdr>
              <w:ind w:left="360"/>
              <w:rPr>
                <w:color w:val="000000"/>
                <w:sz w:val="22"/>
                <w:szCs w:val="18"/>
              </w:rPr>
            </w:pPr>
          </w:p>
        </w:tc>
      </w:tr>
      <w:tr w:rsidR="00515E23" w:rsidRPr="00AE6ECF" w14:paraId="09340C9F" w14:textId="77777777" w:rsidTr="00515E23">
        <w:trPr>
          <w:trHeight w:val="1340"/>
        </w:trPr>
        <w:tc>
          <w:tcPr>
            <w:tcW w:w="3600" w:type="dxa"/>
            <w:vMerge/>
            <w:shd w:val="clear" w:color="auto" w:fill="auto"/>
          </w:tcPr>
          <w:p w14:paraId="40997945" w14:textId="77777777" w:rsidR="00515E23" w:rsidRDefault="00515E23" w:rsidP="001538F7">
            <w:pPr>
              <w:numPr>
                <w:ilvl w:val="0"/>
                <w:numId w:val="14"/>
              </w:numPr>
              <w:pBdr>
                <w:top w:val="nil"/>
                <w:left w:val="nil"/>
                <w:bottom w:val="nil"/>
                <w:right w:val="nil"/>
                <w:between w:val="nil"/>
              </w:pBdr>
              <w:rPr>
                <w:b/>
                <w:color w:val="000000"/>
                <w:sz w:val="22"/>
                <w:szCs w:val="18"/>
              </w:rPr>
            </w:pPr>
          </w:p>
        </w:tc>
        <w:tc>
          <w:tcPr>
            <w:tcW w:w="432" w:type="dxa"/>
            <w:vAlign w:val="center"/>
          </w:tcPr>
          <w:p w14:paraId="2811F6E3"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54393629"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31DFA41D"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6BA7CD31"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5ACE3304" w14:textId="00F091B1" w:rsidR="00515E23" w:rsidRPr="00AE6ECF" w:rsidRDefault="00515E23" w:rsidP="005610DC">
            <w:pPr>
              <w:pBdr>
                <w:top w:val="nil"/>
                <w:left w:val="nil"/>
                <w:bottom w:val="nil"/>
                <w:right w:val="nil"/>
                <w:between w:val="nil"/>
              </w:pBdr>
              <w:ind w:left="360"/>
              <w:jc w:val="center"/>
              <w:rPr>
                <w:color w:val="000000"/>
                <w:sz w:val="22"/>
                <w:szCs w:val="18"/>
              </w:rPr>
            </w:pPr>
          </w:p>
        </w:tc>
        <w:tc>
          <w:tcPr>
            <w:tcW w:w="5328" w:type="dxa"/>
            <w:shd w:val="clear" w:color="auto" w:fill="auto"/>
          </w:tcPr>
          <w:p w14:paraId="33881052" w14:textId="5A22FE52" w:rsidR="00515E23" w:rsidRDefault="00515E23" w:rsidP="00AE6ECF">
            <w:pPr>
              <w:numPr>
                <w:ilvl w:val="0"/>
                <w:numId w:val="13"/>
              </w:numPr>
              <w:pBdr>
                <w:top w:val="nil"/>
                <w:left w:val="nil"/>
                <w:bottom w:val="nil"/>
                <w:right w:val="nil"/>
                <w:between w:val="nil"/>
              </w:pBdr>
              <w:rPr>
                <w:color w:val="000000"/>
                <w:sz w:val="22"/>
                <w:szCs w:val="18"/>
              </w:rPr>
            </w:pPr>
            <w:r>
              <w:rPr>
                <w:color w:val="000000"/>
                <w:sz w:val="22"/>
                <w:szCs w:val="18"/>
              </w:rPr>
              <w:t>T</w:t>
            </w:r>
            <w:r w:rsidRPr="00AE6ECF">
              <w:rPr>
                <w:color w:val="000000"/>
                <w:sz w:val="22"/>
                <w:szCs w:val="18"/>
              </w:rPr>
              <w:t>he accommodations</w:t>
            </w:r>
            <w:r>
              <w:rPr>
                <w:color w:val="000000"/>
                <w:sz w:val="22"/>
                <w:szCs w:val="18"/>
              </w:rPr>
              <w:t xml:space="preserve"> and</w:t>
            </w:r>
            <w:r w:rsidRPr="00AE6ECF">
              <w:rPr>
                <w:color w:val="000000"/>
                <w:sz w:val="22"/>
                <w:szCs w:val="18"/>
              </w:rPr>
              <w:t>/</w:t>
            </w:r>
            <w:r>
              <w:rPr>
                <w:color w:val="000000"/>
                <w:sz w:val="22"/>
                <w:szCs w:val="18"/>
              </w:rPr>
              <w:t xml:space="preserve">or </w:t>
            </w:r>
            <w:r w:rsidRPr="00AE6ECF">
              <w:rPr>
                <w:color w:val="000000"/>
                <w:sz w:val="22"/>
                <w:szCs w:val="18"/>
              </w:rPr>
              <w:t xml:space="preserve">modifications </w:t>
            </w:r>
            <w:r>
              <w:rPr>
                <w:color w:val="000000"/>
                <w:sz w:val="22"/>
                <w:szCs w:val="18"/>
              </w:rPr>
              <w:t xml:space="preserve">are </w:t>
            </w:r>
            <w:r w:rsidRPr="00AE6ECF">
              <w:rPr>
                <w:color w:val="000000"/>
                <w:sz w:val="22"/>
                <w:szCs w:val="18"/>
              </w:rPr>
              <w:t>individualized for student e</w:t>
            </w:r>
            <w:r>
              <w:rPr>
                <w:color w:val="000000"/>
                <w:sz w:val="22"/>
                <w:szCs w:val="18"/>
              </w:rPr>
              <w:t>ngagement, access, and learning.</w:t>
            </w:r>
          </w:p>
        </w:tc>
        <w:tc>
          <w:tcPr>
            <w:tcW w:w="2448" w:type="dxa"/>
          </w:tcPr>
          <w:p w14:paraId="05E6FAE6" w14:textId="77777777" w:rsidR="00515E23" w:rsidRPr="00AE6ECF" w:rsidRDefault="00515E23" w:rsidP="00AE6ECF">
            <w:pPr>
              <w:pBdr>
                <w:top w:val="nil"/>
                <w:left w:val="nil"/>
                <w:bottom w:val="nil"/>
                <w:right w:val="nil"/>
                <w:between w:val="nil"/>
              </w:pBdr>
              <w:ind w:left="360"/>
              <w:rPr>
                <w:color w:val="000000"/>
                <w:sz w:val="22"/>
                <w:szCs w:val="18"/>
              </w:rPr>
            </w:pPr>
          </w:p>
        </w:tc>
      </w:tr>
      <w:tr w:rsidR="00515E23" w:rsidRPr="00AE6ECF" w14:paraId="2E7CF839" w14:textId="77777777" w:rsidTr="00BB1574">
        <w:trPr>
          <w:trHeight w:val="790"/>
        </w:trPr>
        <w:tc>
          <w:tcPr>
            <w:tcW w:w="3600" w:type="dxa"/>
            <w:vMerge w:val="restart"/>
            <w:shd w:val="clear" w:color="auto" w:fill="auto"/>
          </w:tcPr>
          <w:p w14:paraId="6166C475" w14:textId="104D5C41" w:rsidR="00515E23" w:rsidRPr="00AE6ECF" w:rsidRDefault="00515E23" w:rsidP="003C341B">
            <w:pPr>
              <w:numPr>
                <w:ilvl w:val="0"/>
                <w:numId w:val="14"/>
              </w:numPr>
              <w:pBdr>
                <w:top w:val="nil"/>
                <w:left w:val="nil"/>
                <w:bottom w:val="nil"/>
                <w:right w:val="nil"/>
                <w:between w:val="nil"/>
              </w:pBdr>
              <w:rPr>
                <w:color w:val="000000" w:themeColor="text1"/>
                <w:sz w:val="22"/>
                <w:szCs w:val="22"/>
              </w:rPr>
            </w:pPr>
            <w:r w:rsidRPr="5EB5728B">
              <w:rPr>
                <w:b/>
                <w:bCs/>
                <w:color w:val="000000" w:themeColor="text1"/>
                <w:sz w:val="22"/>
                <w:szCs w:val="22"/>
              </w:rPr>
              <w:t xml:space="preserve">Measurable annual goals and short-term objectives support increased opportunities for learning within the grade-level standards. </w:t>
            </w:r>
          </w:p>
        </w:tc>
        <w:tc>
          <w:tcPr>
            <w:tcW w:w="432" w:type="dxa"/>
            <w:vAlign w:val="center"/>
          </w:tcPr>
          <w:p w14:paraId="31CB04A2"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547D9630"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70F79962"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65C43EA8"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0F3CABC7" w14:textId="7153AAC4" w:rsidR="00515E23" w:rsidRPr="00AE6ECF" w:rsidRDefault="00515E23" w:rsidP="005610DC">
            <w:pPr>
              <w:pBdr>
                <w:top w:val="nil"/>
                <w:left w:val="nil"/>
                <w:bottom w:val="nil"/>
                <w:right w:val="nil"/>
                <w:between w:val="nil"/>
              </w:pBdr>
              <w:ind w:left="360"/>
              <w:jc w:val="center"/>
              <w:rPr>
                <w:color w:val="000000"/>
                <w:sz w:val="22"/>
                <w:szCs w:val="18"/>
              </w:rPr>
            </w:pPr>
          </w:p>
        </w:tc>
        <w:tc>
          <w:tcPr>
            <w:tcW w:w="5328" w:type="dxa"/>
            <w:shd w:val="clear" w:color="auto" w:fill="auto"/>
          </w:tcPr>
          <w:p w14:paraId="72F3FA3D" w14:textId="551DFC1D" w:rsidR="00515E23" w:rsidRPr="00515E23" w:rsidRDefault="00515E23" w:rsidP="00515E23">
            <w:pPr>
              <w:numPr>
                <w:ilvl w:val="0"/>
                <w:numId w:val="19"/>
              </w:numPr>
              <w:pBdr>
                <w:top w:val="nil"/>
                <w:left w:val="nil"/>
                <w:bottom w:val="nil"/>
                <w:right w:val="nil"/>
                <w:between w:val="nil"/>
              </w:pBdr>
              <w:rPr>
                <w:color w:val="000000"/>
                <w:sz w:val="22"/>
                <w:szCs w:val="18"/>
              </w:rPr>
            </w:pPr>
            <w:r>
              <w:rPr>
                <w:color w:val="000000"/>
                <w:sz w:val="22"/>
                <w:szCs w:val="18"/>
              </w:rPr>
              <w:t>T</w:t>
            </w:r>
            <w:r w:rsidRPr="00AE6ECF">
              <w:rPr>
                <w:color w:val="000000"/>
                <w:sz w:val="22"/>
                <w:szCs w:val="18"/>
              </w:rPr>
              <w:t xml:space="preserve">he skills in the IEP goals and short-term objectives </w:t>
            </w:r>
            <w:r>
              <w:rPr>
                <w:color w:val="000000"/>
                <w:sz w:val="22"/>
                <w:szCs w:val="18"/>
              </w:rPr>
              <w:t xml:space="preserve">are </w:t>
            </w:r>
            <w:r w:rsidRPr="00AE6ECF">
              <w:rPr>
                <w:color w:val="000000"/>
                <w:sz w:val="22"/>
                <w:szCs w:val="18"/>
              </w:rPr>
              <w:t>generalizab</w:t>
            </w:r>
            <w:r>
              <w:rPr>
                <w:color w:val="000000"/>
                <w:sz w:val="22"/>
                <w:szCs w:val="18"/>
              </w:rPr>
              <w:t>le across subjects and settings.</w:t>
            </w:r>
          </w:p>
        </w:tc>
        <w:tc>
          <w:tcPr>
            <w:tcW w:w="2448" w:type="dxa"/>
          </w:tcPr>
          <w:p w14:paraId="0AD9C6F4" w14:textId="77777777" w:rsidR="00515E23" w:rsidRPr="00AE6ECF" w:rsidRDefault="00515E23" w:rsidP="00AE6ECF">
            <w:pPr>
              <w:pBdr>
                <w:top w:val="nil"/>
                <w:left w:val="nil"/>
                <w:bottom w:val="nil"/>
                <w:right w:val="nil"/>
                <w:between w:val="nil"/>
              </w:pBdr>
              <w:ind w:left="360"/>
              <w:rPr>
                <w:color w:val="000000"/>
                <w:sz w:val="22"/>
                <w:szCs w:val="18"/>
              </w:rPr>
            </w:pPr>
          </w:p>
        </w:tc>
      </w:tr>
      <w:tr w:rsidR="00515E23" w:rsidRPr="00AE6ECF" w14:paraId="74B84A97" w14:textId="77777777" w:rsidTr="00515E23">
        <w:trPr>
          <w:trHeight w:val="602"/>
        </w:trPr>
        <w:tc>
          <w:tcPr>
            <w:tcW w:w="3600" w:type="dxa"/>
            <w:vMerge/>
            <w:shd w:val="clear" w:color="auto" w:fill="auto"/>
          </w:tcPr>
          <w:p w14:paraId="43C24F3E" w14:textId="77777777" w:rsidR="00515E23" w:rsidRPr="5EB5728B" w:rsidRDefault="00515E23" w:rsidP="003C341B">
            <w:pPr>
              <w:numPr>
                <w:ilvl w:val="0"/>
                <w:numId w:val="14"/>
              </w:numPr>
              <w:pBdr>
                <w:top w:val="nil"/>
                <w:left w:val="nil"/>
                <w:bottom w:val="nil"/>
                <w:right w:val="nil"/>
                <w:between w:val="nil"/>
              </w:pBdr>
              <w:rPr>
                <w:b/>
                <w:bCs/>
                <w:color w:val="000000" w:themeColor="text1"/>
                <w:sz w:val="22"/>
                <w:szCs w:val="22"/>
              </w:rPr>
            </w:pPr>
          </w:p>
        </w:tc>
        <w:tc>
          <w:tcPr>
            <w:tcW w:w="432" w:type="dxa"/>
            <w:vAlign w:val="center"/>
          </w:tcPr>
          <w:p w14:paraId="42528412"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72A18253"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3911978C"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72EFB730"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1066C66F" w14:textId="0399E77E" w:rsidR="00515E23" w:rsidRPr="00AE6ECF" w:rsidRDefault="00515E23" w:rsidP="005610DC">
            <w:pPr>
              <w:pBdr>
                <w:top w:val="nil"/>
                <w:left w:val="nil"/>
                <w:bottom w:val="nil"/>
                <w:right w:val="nil"/>
                <w:between w:val="nil"/>
              </w:pBdr>
              <w:ind w:left="360"/>
              <w:jc w:val="center"/>
              <w:rPr>
                <w:color w:val="000000"/>
                <w:sz w:val="22"/>
                <w:szCs w:val="18"/>
              </w:rPr>
            </w:pPr>
          </w:p>
        </w:tc>
        <w:tc>
          <w:tcPr>
            <w:tcW w:w="5328" w:type="dxa"/>
            <w:shd w:val="clear" w:color="auto" w:fill="auto"/>
          </w:tcPr>
          <w:p w14:paraId="51D739AF" w14:textId="760EE71B" w:rsidR="00515E23" w:rsidRPr="00515E23" w:rsidRDefault="00515E23" w:rsidP="00515E23">
            <w:pPr>
              <w:numPr>
                <w:ilvl w:val="0"/>
                <w:numId w:val="19"/>
              </w:numPr>
              <w:pBdr>
                <w:top w:val="nil"/>
                <w:left w:val="nil"/>
                <w:bottom w:val="nil"/>
                <w:right w:val="nil"/>
                <w:between w:val="nil"/>
              </w:pBdr>
              <w:rPr>
                <w:color w:val="000000"/>
                <w:sz w:val="22"/>
                <w:szCs w:val="18"/>
              </w:rPr>
            </w:pPr>
            <w:r>
              <w:rPr>
                <w:color w:val="000000"/>
                <w:sz w:val="22"/>
                <w:szCs w:val="18"/>
              </w:rPr>
              <w:t>At</w:t>
            </w:r>
            <w:r w:rsidRPr="00AE6ECF">
              <w:rPr>
                <w:color w:val="000000"/>
                <w:sz w:val="22"/>
                <w:szCs w:val="18"/>
              </w:rPr>
              <w:t xml:space="preserve"> least one goal </w:t>
            </w:r>
            <w:r>
              <w:rPr>
                <w:color w:val="000000"/>
                <w:sz w:val="22"/>
                <w:szCs w:val="18"/>
              </w:rPr>
              <w:t xml:space="preserve">is </w:t>
            </w:r>
            <w:r w:rsidRPr="00AE6ECF">
              <w:rPr>
                <w:color w:val="000000"/>
                <w:sz w:val="22"/>
                <w:szCs w:val="18"/>
              </w:rPr>
              <w:t>sufficiently designed to increas</w:t>
            </w:r>
            <w:r>
              <w:rPr>
                <w:color w:val="000000"/>
                <w:sz w:val="22"/>
                <w:szCs w:val="18"/>
              </w:rPr>
              <w:t>e the student’s literacy skills.</w:t>
            </w:r>
          </w:p>
        </w:tc>
        <w:tc>
          <w:tcPr>
            <w:tcW w:w="2448" w:type="dxa"/>
          </w:tcPr>
          <w:p w14:paraId="48CCD29A" w14:textId="77777777" w:rsidR="00515E23" w:rsidRPr="00AE6ECF" w:rsidRDefault="00515E23" w:rsidP="00AE6ECF">
            <w:pPr>
              <w:pBdr>
                <w:top w:val="nil"/>
                <w:left w:val="nil"/>
                <w:bottom w:val="nil"/>
                <w:right w:val="nil"/>
                <w:between w:val="nil"/>
              </w:pBdr>
              <w:ind w:left="360"/>
              <w:rPr>
                <w:color w:val="000000"/>
                <w:sz w:val="22"/>
                <w:szCs w:val="18"/>
              </w:rPr>
            </w:pPr>
          </w:p>
        </w:tc>
      </w:tr>
      <w:tr w:rsidR="00515E23" w:rsidRPr="00AE6ECF" w14:paraId="280D1FCF" w14:textId="77777777" w:rsidTr="00515E23">
        <w:trPr>
          <w:trHeight w:val="710"/>
        </w:trPr>
        <w:tc>
          <w:tcPr>
            <w:tcW w:w="3600" w:type="dxa"/>
            <w:vMerge/>
            <w:shd w:val="clear" w:color="auto" w:fill="auto"/>
          </w:tcPr>
          <w:p w14:paraId="5D126B3B" w14:textId="77777777" w:rsidR="00515E23" w:rsidRPr="5EB5728B" w:rsidRDefault="00515E23" w:rsidP="003C341B">
            <w:pPr>
              <w:numPr>
                <w:ilvl w:val="0"/>
                <w:numId w:val="14"/>
              </w:numPr>
              <w:pBdr>
                <w:top w:val="nil"/>
                <w:left w:val="nil"/>
                <w:bottom w:val="nil"/>
                <w:right w:val="nil"/>
                <w:between w:val="nil"/>
              </w:pBdr>
              <w:rPr>
                <w:b/>
                <w:bCs/>
                <w:color w:val="000000" w:themeColor="text1"/>
                <w:sz w:val="22"/>
                <w:szCs w:val="22"/>
              </w:rPr>
            </w:pPr>
          </w:p>
        </w:tc>
        <w:tc>
          <w:tcPr>
            <w:tcW w:w="432" w:type="dxa"/>
            <w:vAlign w:val="center"/>
          </w:tcPr>
          <w:p w14:paraId="7D55BF27"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5D932424"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70DE6559"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1EE2F33B"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26A89153" w14:textId="30FD37E3" w:rsidR="00515E23" w:rsidRPr="00AE6ECF" w:rsidRDefault="00515E23" w:rsidP="005610DC">
            <w:pPr>
              <w:pBdr>
                <w:top w:val="nil"/>
                <w:left w:val="nil"/>
                <w:bottom w:val="nil"/>
                <w:right w:val="nil"/>
                <w:between w:val="nil"/>
              </w:pBdr>
              <w:ind w:left="360"/>
              <w:jc w:val="center"/>
              <w:rPr>
                <w:color w:val="000000"/>
                <w:sz w:val="22"/>
                <w:szCs w:val="18"/>
              </w:rPr>
            </w:pPr>
          </w:p>
        </w:tc>
        <w:tc>
          <w:tcPr>
            <w:tcW w:w="5328" w:type="dxa"/>
            <w:shd w:val="clear" w:color="auto" w:fill="auto"/>
          </w:tcPr>
          <w:p w14:paraId="2BDBDD4B" w14:textId="34C4FB82" w:rsidR="00515E23" w:rsidRDefault="00515E23" w:rsidP="00AE6ECF">
            <w:pPr>
              <w:numPr>
                <w:ilvl w:val="0"/>
                <w:numId w:val="19"/>
              </w:numPr>
              <w:pBdr>
                <w:top w:val="nil"/>
                <w:left w:val="nil"/>
                <w:bottom w:val="nil"/>
                <w:right w:val="nil"/>
                <w:between w:val="nil"/>
              </w:pBdr>
              <w:rPr>
                <w:color w:val="000000"/>
                <w:sz w:val="22"/>
                <w:szCs w:val="18"/>
              </w:rPr>
            </w:pPr>
            <w:r w:rsidRPr="4A05B977">
              <w:rPr>
                <w:color w:val="000000" w:themeColor="text1"/>
                <w:sz w:val="22"/>
                <w:szCs w:val="22"/>
              </w:rPr>
              <w:t>At least one goal is sufficiently designed to increase the student’s communication skills.</w:t>
            </w:r>
          </w:p>
        </w:tc>
        <w:tc>
          <w:tcPr>
            <w:tcW w:w="2448" w:type="dxa"/>
          </w:tcPr>
          <w:p w14:paraId="2CC54C4E" w14:textId="77777777" w:rsidR="00515E23" w:rsidRPr="00AE6ECF" w:rsidRDefault="00515E23" w:rsidP="00AE6ECF">
            <w:pPr>
              <w:pBdr>
                <w:top w:val="nil"/>
                <w:left w:val="nil"/>
                <w:bottom w:val="nil"/>
                <w:right w:val="nil"/>
                <w:between w:val="nil"/>
              </w:pBdr>
              <w:ind w:left="360"/>
              <w:rPr>
                <w:color w:val="000000"/>
                <w:sz w:val="22"/>
                <w:szCs w:val="18"/>
              </w:rPr>
            </w:pPr>
          </w:p>
        </w:tc>
      </w:tr>
      <w:tr w:rsidR="00515E23" w:rsidRPr="00AE6ECF" w14:paraId="56069FFE" w14:textId="77777777" w:rsidTr="000B0A5C">
        <w:trPr>
          <w:trHeight w:val="1268"/>
        </w:trPr>
        <w:tc>
          <w:tcPr>
            <w:tcW w:w="3600" w:type="dxa"/>
            <w:vMerge w:val="restart"/>
            <w:shd w:val="clear" w:color="auto" w:fill="auto"/>
          </w:tcPr>
          <w:p w14:paraId="32B50174" w14:textId="7F928C5A" w:rsidR="00515E23" w:rsidRPr="00876B84" w:rsidRDefault="00515E23" w:rsidP="4A05B977">
            <w:pPr>
              <w:numPr>
                <w:ilvl w:val="0"/>
                <w:numId w:val="14"/>
              </w:numPr>
              <w:pBdr>
                <w:top w:val="nil"/>
                <w:left w:val="nil"/>
                <w:bottom w:val="nil"/>
                <w:right w:val="nil"/>
                <w:between w:val="nil"/>
              </w:pBdr>
              <w:rPr>
                <w:color w:val="000000" w:themeColor="text1"/>
                <w:sz w:val="22"/>
                <w:szCs w:val="22"/>
              </w:rPr>
            </w:pPr>
            <w:r w:rsidRPr="4A05B977">
              <w:rPr>
                <w:b/>
                <w:bCs/>
                <w:color w:val="000000" w:themeColor="text1"/>
                <w:sz w:val="22"/>
                <w:szCs w:val="22"/>
              </w:rPr>
              <w:t xml:space="preserve">There is evidence of student progress on IEP annual goals, short-term objectives (when present), </w:t>
            </w:r>
            <w:r w:rsidRPr="4A05B977">
              <w:rPr>
                <w:b/>
                <w:bCs/>
                <w:i/>
                <w:iCs/>
                <w:color w:val="000000" w:themeColor="text1"/>
                <w:sz w:val="22"/>
                <w:szCs w:val="22"/>
                <w:u w:val="single"/>
              </w:rPr>
              <w:t>and</w:t>
            </w:r>
            <w:r w:rsidRPr="4A05B977">
              <w:rPr>
                <w:b/>
                <w:bCs/>
                <w:color w:val="000000" w:themeColor="text1"/>
                <w:sz w:val="22"/>
                <w:szCs w:val="22"/>
              </w:rPr>
              <w:t xml:space="preserve"> within instruction aligned to state standards.</w:t>
            </w:r>
          </w:p>
          <w:p w14:paraId="4B1F511A" w14:textId="77777777" w:rsidR="00515E23" w:rsidRPr="00AE6ECF" w:rsidRDefault="00515E23" w:rsidP="00876B84">
            <w:pPr>
              <w:pBdr>
                <w:top w:val="nil"/>
                <w:left w:val="nil"/>
                <w:bottom w:val="nil"/>
                <w:right w:val="nil"/>
                <w:between w:val="nil"/>
              </w:pBdr>
              <w:ind w:left="360"/>
              <w:rPr>
                <w:color w:val="000000"/>
                <w:sz w:val="22"/>
                <w:szCs w:val="18"/>
              </w:rPr>
            </w:pPr>
          </w:p>
        </w:tc>
        <w:tc>
          <w:tcPr>
            <w:tcW w:w="432" w:type="dxa"/>
            <w:vAlign w:val="center"/>
          </w:tcPr>
          <w:p w14:paraId="6B62D088"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48E6D656"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5AB96E7E"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16D0BC08"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664355AD" w14:textId="19E7C44F" w:rsidR="00515E23" w:rsidRPr="00AE6ECF" w:rsidRDefault="00515E23" w:rsidP="005610DC">
            <w:pPr>
              <w:pBdr>
                <w:top w:val="nil"/>
                <w:left w:val="nil"/>
                <w:bottom w:val="nil"/>
                <w:right w:val="nil"/>
                <w:between w:val="nil"/>
              </w:pBdr>
              <w:ind w:left="360"/>
              <w:jc w:val="center"/>
              <w:rPr>
                <w:color w:val="000000"/>
                <w:sz w:val="22"/>
                <w:szCs w:val="18"/>
              </w:rPr>
            </w:pPr>
          </w:p>
        </w:tc>
        <w:tc>
          <w:tcPr>
            <w:tcW w:w="5328" w:type="dxa"/>
            <w:shd w:val="clear" w:color="auto" w:fill="auto"/>
          </w:tcPr>
          <w:p w14:paraId="2B0CFC6A" w14:textId="7C21D7DB" w:rsidR="00515E23" w:rsidRPr="00AE6ECF" w:rsidRDefault="00515E23" w:rsidP="00AE6ECF">
            <w:pPr>
              <w:numPr>
                <w:ilvl w:val="0"/>
                <w:numId w:val="20"/>
              </w:numPr>
              <w:pBdr>
                <w:top w:val="nil"/>
                <w:left w:val="nil"/>
                <w:bottom w:val="nil"/>
                <w:right w:val="nil"/>
                <w:between w:val="nil"/>
              </w:pBdr>
              <w:rPr>
                <w:color w:val="000000"/>
                <w:sz w:val="22"/>
                <w:szCs w:val="18"/>
              </w:rPr>
            </w:pPr>
            <w:r>
              <w:rPr>
                <w:color w:val="000000"/>
                <w:sz w:val="22"/>
                <w:szCs w:val="18"/>
              </w:rPr>
              <w:t>There is</w:t>
            </w:r>
            <w:r w:rsidRPr="00AE6ECF">
              <w:rPr>
                <w:color w:val="000000"/>
                <w:sz w:val="22"/>
                <w:szCs w:val="18"/>
              </w:rPr>
              <w:t xml:space="preserve"> </w:t>
            </w:r>
            <w:r>
              <w:rPr>
                <w:color w:val="000000"/>
                <w:sz w:val="22"/>
                <w:szCs w:val="18"/>
              </w:rPr>
              <w:t xml:space="preserve">formal and informal </w:t>
            </w:r>
            <w:r w:rsidRPr="00AE6ECF">
              <w:rPr>
                <w:color w:val="000000"/>
                <w:sz w:val="22"/>
                <w:szCs w:val="18"/>
              </w:rPr>
              <w:t>evidence of student progress toward mastery</w:t>
            </w:r>
            <w:r>
              <w:rPr>
                <w:color w:val="000000"/>
                <w:sz w:val="22"/>
                <w:szCs w:val="18"/>
              </w:rPr>
              <w:t xml:space="preserve"> of standards-based instruction</w:t>
            </w:r>
          </w:p>
          <w:p w14:paraId="1DDA8449" w14:textId="77777777" w:rsidR="00515E23" w:rsidRPr="00923A64" w:rsidRDefault="00515E23" w:rsidP="00AE6ECF">
            <w:pPr>
              <w:numPr>
                <w:ilvl w:val="0"/>
                <w:numId w:val="21"/>
              </w:numPr>
              <w:pBdr>
                <w:top w:val="nil"/>
                <w:left w:val="nil"/>
                <w:bottom w:val="nil"/>
                <w:right w:val="nil"/>
                <w:between w:val="nil"/>
              </w:pBdr>
              <w:rPr>
                <w:i/>
                <w:color w:val="000000"/>
                <w:sz w:val="22"/>
                <w:szCs w:val="18"/>
              </w:rPr>
            </w:pPr>
            <w:r w:rsidRPr="00923A64">
              <w:rPr>
                <w:i/>
                <w:color w:val="000000"/>
                <w:sz w:val="22"/>
                <w:szCs w:val="18"/>
              </w:rPr>
              <w:t>Curriculum-based measures</w:t>
            </w:r>
          </w:p>
          <w:p w14:paraId="43DB9981" w14:textId="49ED7F16" w:rsidR="00515E23" w:rsidRPr="00515E23" w:rsidRDefault="00515E23" w:rsidP="00515E23">
            <w:pPr>
              <w:numPr>
                <w:ilvl w:val="0"/>
                <w:numId w:val="21"/>
              </w:numPr>
              <w:pBdr>
                <w:top w:val="nil"/>
                <w:left w:val="nil"/>
                <w:bottom w:val="nil"/>
                <w:right w:val="nil"/>
                <w:between w:val="nil"/>
              </w:pBdr>
              <w:rPr>
                <w:i/>
                <w:color w:val="000000"/>
                <w:sz w:val="22"/>
                <w:szCs w:val="18"/>
              </w:rPr>
            </w:pPr>
            <w:r w:rsidRPr="00923A64">
              <w:rPr>
                <w:i/>
                <w:color w:val="000000"/>
                <w:sz w:val="22"/>
                <w:szCs w:val="18"/>
              </w:rPr>
              <w:t>Content-based projects/assessments</w:t>
            </w:r>
            <w:r>
              <w:rPr>
                <w:i/>
                <w:color w:val="000000"/>
                <w:sz w:val="22"/>
                <w:szCs w:val="18"/>
              </w:rPr>
              <w:t>.</w:t>
            </w:r>
          </w:p>
        </w:tc>
        <w:tc>
          <w:tcPr>
            <w:tcW w:w="2448" w:type="dxa"/>
          </w:tcPr>
          <w:p w14:paraId="7DF4E37C" w14:textId="77777777" w:rsidR="00515E23" w:rsidRPr="00AE6ECF" w:rsidRDefault="00515E23" w:rsidP="00AE6ECF">
            <w:pPr>
              <w:pBdr>
                <w:top w:val="nil"/>
                <w:left w:val="nil"/>
                <w:bottom w:val="nil"/>
                <w:right w:val="nil"/>
                <w:between w:val="nil"/>
              </w:pBdr>
              <w:ind w:left="360"/>
              <w:rPr>
                <w:color w:val="000000"/>
                <w:sz w:val="22"/>
                <w:szCs w:val="18"/>
              </w:rPr>
            </w:pPr>
          </w:p>
        </w:tc>
      </w:tr>
      <w:tr w:rsidR="00515E23" w:rsidRPr="00AE6ECF" w14:paraId="4716C4CC" w14:textId="77777777" w:rsidTr="000B0A5C">
        <w:trPr>
          <w:trHeight w:val="1267"/>
        </w:trPr>
        <w:tc>
          <w:tcPr>
            <w:tcW w:w="3600" w:type="dxa"/>
            <w:vMerge/>
            <w:shd w:val="clear" w:color="auto" w:fill="auto"/>
          </w:tcPr>
          <w:p w14:paraId="3CC830DB" w14:textId="77777777" w:rsidR="00515E23" w:rsidRPr="4A05B977" w:rsidRDefault="00515E23" w:rsidP="4A05B977">
            <w:pPr>
              <w:numPr>
                <w:ilvl w:val="0"/>
                <w:numId w:val="14"/>
              </w:numPr>
              <w:pBdr>
                <w:top w:val="nil"/>
                <w:left w:val="nil"/>
                <w:bottom w:val="nil"/>
                <w:right w:val="nil"/>
                <w:between w:val="nil"/>
              </w:pBdr>
              <w:rPr>
                <w:b/>
                <w:bCs/>
                <w:color w:val="000000" w:themeColor="text1"/>
                <w:sz w:val="22"/>
                <w:szCs w:val="22"/>
              </w:rPr>
            </w:pPr>
          </w:p>
        </w:tc>
        <w:tc>
          <w:tcPr>
            <w:tcW w:w="432" w:type="dxa"/>
            <w:vAlign w:val="center"/>
          </w:tcPr>
          <w:p w14:paraId="2B2C35F9"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5A1F599D"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7FBDB2CC"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2B81495A" w14:textId="77777777" w:rsidR="00515E23" w:rsidRPr="00AE6ECF"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67071B78" w14:textId="0E9FFFFD" w:rsidR="00515E23" w:rsidRPr="00AE6ECF" w:rsidRDefault="00515E23" w:rsidP="005610DC">
            <w:pPr>
              <w:pBdr>
                <w:top w:val="nil"/>
                <w:left w:val="nil"/>
                <w:bottom w:val="nil"/>
                <w:right w:val="nil"/>
                <w:between w:val="nil"/>
              </w:pBdr>
              <w:ind w:left="360"/>
              <w:jc w:val="center"/>
              <w:rPr>
                <w:color w:val="000000"/>
                <w:sz w:val="22"/>
                <w:szCs w:val="18"/>
              </w:rPr>
            </w:pPr>
          </w:p>
        </w:tc>
        <w:tc>
          <w:tcPr>
            <w:tcW w:w="5328" w:type="dxa"/>
            <w:shd w:val="clear" w:color="auto" w:fill="auto"/>
          </w:tcPr>
          <w:p w14:paraId="16B5C99A" w14:textId="37313D25" w:rsidR="00515E23" w:rsidRDefault="00515E23" w:rsidP="00AE6ECF">
            <w:pPr>
              <w:numPr>
                <w:ilvl w:val="0"/>
                <w:numId w:val="20"/>
              </w:numPr>
              <w:pBdr>
                <w:top w:val="nil"/>
                <w:left w:val="nil"/>
                <w:bottom w:val="nil"/>
                <w:right w:val="nil"/>
                <w:between w:val="nil"/>
              </w:pBdr>
              <w:rPr>
                <w:color w:val="000000"/>
                <w:sz w:val="22"/>
                <w:szCs w:val="18"/>
              </w:rPr>
            </w:pPr>
            <w:r>
              <w:rPr>
                <w:color w:val="000000"/>
                <w:sz w:val="22"/>
                <w:szCs w:val="18"/>
              </w:rPr>
              <w:t>There is</w:t>
            </w:r>
            <w:r w:rsidRPr="00AE6ECF">
              <w:rPr>
                <w:color w:val="000000"/>
                <w:sz w:val="22"/>
                <w:szCs w:val="18"/>
              </w:rPr>
              <w:t xml:space="preserve"> </w:t>
            </w:r>
            <w:r>
              <w:rPr>
                <w:color w:val="000000"/>
                <w:sz w:val="22"/>
                <w:szCs w:val="18"/>
              </w:rPr>
              <w:t xml:space="preserve">formal and informal </w:t>
            </w:r>
            <w:r w:rsidRPr="00AE6ECF">
              <w:rPr>
                <w:color w:val="000000"/>
                <w:sz w:val="22"/>
                <w:szCs w:val="18"/>
              </w:rPr>
              <w:t>evidence of student progress towards master</w:t>
            </w:r>
            <w:r>
              <w:rPr>
                <w:color w:val="000000"/>
                <w:sz w:val="22"/>
                <w:szCs w:val="18"/>
              </w:rPr>
              <w:t>y of IEP goals and objectives.</w:t>
            </w:r>
          </w:p>
        </w:tc>
        <w:tc>
          <w:tcPr>
            <w:tcW w:w="2448" w:type="dxa"/>
          </w:tcPr>
          <w:p w14:paraId="5703C7D9" w14:textId="77777777" w:rsidR="00515E23" w:rsidRPr="00AE6ECF" w:rsidRDefault="00515E23" w:rsidP="00AE6ECF">
            <w:pPr>
              <w:pBdr>
                <w:top w:val="nil"/>
                <w:left w:val="nil"/>
                <w:bottom w:val="nil"/>
                <w:right w:val="nil"/>
                <w:between w:val="nil"/>
              </w:pBdr>
              <w:ind w:left="360"/>
              <w:rPr>
                <w:color w:val="000000"/>
                <w:sz w:val="22"/>
                <w:szCs w:val="18"/>
              </w:rPr>
            </w:pPr>
          </w:p>
        </w:tc>
      </w:tr>
    </w:tbl>
    <w:p w14:paraId="44FB30F8" w14:textId="77777777" w:rsidR="001538F7" w:rsidRDefault="001538F7" w:rsidP="00AE6ECF">
      <w:pPr>
        <w:rPr>
          <w:rFonts w:ascii="PermianSlabSerifTypeface" w:hAnsi="PermianSlabSerifTypeface"/>
          <w:b/>
          <w:sz w:val="32"/>
        </w:rPr>
      </w:pPr>
    </w:p>
    <w:p w14:paraId="46F661F2" w14:textId="05471F07" w:rsidR="0018042C" w:rsidRDefault="001538F7" w:rsidP="4A05B977">
      <w:pPr>
        <w:pStyle w:val="Heading1"/>
        <w:spacing w:before="0"/>
        <w:jc w:val="left"/>
        <w:rPr>
          <w:sz w:val="32"/>
          <w:szCs w:val="32"/>
        </w:rPr>
      </w:pPr>
      <w:r>
        <w:rPr>
          <w:b w:val="0"/>
        </w:rPr>
        <w:br w:type="page"/>
      </w:r>
      <w:r w:rsidR="0018042C" w:rsidRPr="4A05B977">
        <w:rPr>
          <w:sz w:val="32"/>
          <w:szCs w:val="32"/>
        </w:rPr>
        <w:lastRenderedPageBreak/>
        <w:t xml:space="preserve">Criterion </w:t>
      </w:r>
      <w:r w:rsidR="0A019881" w:rsidRPr="4A05B977">
        <w:rPr>
          <w:sz w:val="32"/>
          <w:szCs w:val="32"/>
        </w:rPr>
        <w:t>Three</w:t>
      </w:r>
      <w:r w:rsidR="0018042C" w:rsidRPr="4A05B977">
        <w:rPr>
          <w:sz w:val="32"/>
          <w:szCs w:val="32"/>
        </w:rPr>
        <w:t>: The student requires extensive, direct</w:t>
      </w:r>
      <w:r w:rsidR="76AE27DF" w:rsidRPr="4A05B977">
        <w:rPr>
          <w:sz w:val="32"/>
          <w:szCs w:val="32"/>
        </w:rPr>
        <w:t>ly</w:t>
      </w:r>
      <w:r w:rsidR="0018042C" w:rsidRPr="4A05B977">
        <w:rPr>
          <w:sz w:val="32"/>
          <w:szCs w:val="32"/>
        </w:rPr>
        <w:t xml:space="preserve"> individualized instruction and substantial support to achieve measurable gains in the grade- and age-appropriate curriculum. </w:t>
      </w:r>
    </w:p>
    <w:p w14:paraId="1DA6542E" w14:textId="77777777" w:rsidR="0018042C" w:rsidRPr="0055754C" w:rsidRDefault="0018042C" w:rsidP="0018042C"/>
    <w:p w14:paraId="2D04C733" w14:textId="32DFEBBE" w:rsidR="0018042C" w:rsidRPr="0055754C" w:rsidRDefault="0018042C" w:rsidP="0018042C">
      <w:r>
        <w:t xml:space="preserve">For students who meet Criteria </w:t>
      </w:r>
      <w:r w:rsidR="5E26C02C">
        <w:t>One</w:t>
      </w:r>
      <w:r>
        <w:t xml:space="preserve"> and </w:t>
      </w:r>
      <w:r w:rsidR="2F0C4059">
        <w:t>Two</w:t>
      </w:r>
      <w:r>
        <w:t>, the team must then determine if the student requires extensive, direct, individualized instruction and substantial supports. Below are some considerations to guide teams in making this determination.</w:t>
      </w:r>
    </w:p>
    <w:p w14:paraId="3041E394" w14:textId="77777777" w:rsidR="001538F7" w:rsidRPr="0055754C" w:rsidRDefault="001538F7" w:rsidP="00AE6ECF"/>
    <w:p w14:paraId="4BFD3B01" w14:textId="77777777" w:rsidR="0018042C" w:rsidRPr="0055754C" w:rsidRDefault="0018042C" w:rsidP="0018042C">
      <w:r w:rsidRPr="0055754C">
        <w:t>When reviewing a student file, rate the following considerations using the scale:</w:t>
      </w:r>
    </w:p>
    <w:p w14:paraId="48478AC7" w14:textId="77777777" w:rsidR="0018042C" w:rsidRPr="0055754C" w:rsidRDefault="0018042C" w:rsidP="0018042C">
      <w:r w:rsidRPr="0055754C">
        <w:tab/>
        <w:t>1 = No evidence to support the IEP team decision</w:t>
      </w:r>
    </w:p>
    <w:p w14:paraId="45F981AF" w14:textId="77777777" w:rsidR="0018042C" w:rsidRPr="0055754C" w:rsidRDefault="0018042C" w:rsidP="0018042C">
      <w:r w:rsidRPr="0055754C">
        <w:tab/>
        <w:t>3 = Minimal evidence or inconclusive support of the IEP team decision</w:t>
      </w:r>
    </w:p>
    <w:p w14:paraId="38F9AFA7" w14:textId="77777777" w:rsidR="0018042C" w:rsidRPr="0055754C" w:rsidRDefault="0018042C" w:rsidP="0018042C">
      <w:r w:rsidRPr="0055754C">
        <w:tab/>
        <w:t>5 = Clear evidence to support the IEP team decision</w:t>
      </w:r>
    </w:p>
    <w:p w14:paraId="722B00AE" w14:textId="77777777" w:rsidR="0018042C" w:rsidRPr="00F5768E" w:rsidRDefault="0018042C" w:rsidP="0018042C">
      <w:pPr>
        <w:rPr>
          <w:sz w:val="18"/>
        </w:rPr>
      </w:pPr>
    </w:p>
    <w:tbl>
      <w:tblPr>
        <w:tblW w:w="13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432"/>
        <w:gridCol w:w="432"/>
        <w:gridCol w:w="432"/>
        <w:gridCol w:w="432"/>
        <w:gridCol w:w="432"/>
        <w:gridCol w:w="5035"/>
        <w:gridCol w:w="2448"/>
      </w:tblGrid>
      <w:tr w:rsidR="006F54CA" w:rsidRPr="0018042C" w14:paraId="616C59E2" w14:textId="77777777" w:rsidTr="0079736B">
        <w:trPr>
          <w:tblHeader/>
        </w:trPr>
        <w:tc>
          <w:tcPr>
            <w:tcW w:w="3600" w:type="dxa"/>
            <w:shd w:val="clear" w:color="auto" w:fill="C2D69B" w:themeFill="accent3" w:themeFillTint="99"/>
            <w:vAlign w:val="center"/>
          </w:tcPr>
          <w:p w14:paraId="3A5B252F" w14:textId="77777777" w:rsidR="006F54CA" w:rsidRPr="0018042C" w:rsidRDefault="006F54CA" w:rsidP="006F54CA">
            <w:pPr>
              <w:pBdr>
                <w:top w:val="nil"/>
                <w:left w:val="nil"/>
                <w:bottom w:val="nil"/>
                <w:right w:val="nil"/>
                <w:between w:val="nil"/>
              </w:pBdr>
              <w:jc w:val="center"/>
              <w:rPr>
                <w:b/>
                <w:color w:val="000000"/>
                <w:sz w:val="22"/>
                <w:szCs w:val="18"/>
              </w:rPr>
            </w:pPr>
            <w:r>
              <w:rPr>
                <w:b/>
                <w:color w:val="000000"/>
                <w:sz w:val="22"/>
                <w:szCs w:val="18"/>
              </w:rPr>
              <w:t>Evidence of Considerations Used to Determine Eligibility</w:t>
            </w:r>
          </w:p>
        </w:tc>
        <w:tc>
          <w:tcPr>
            <w:tcW w:w="432" w:type="dxa"/>
            <w:shd w:val="clear" w:color="auto" w:fill="C2D69B" w:themeFill="accent3" w:themeFillTint="99"/>
            <w:vAlign w:val="center"/>
          </w:tcPr>
          <w:p w14:paraId="249FAAB8" w14:textId="77777777" w:rsidR="006F54CA" w:rsidRPr="0018042C" w:rsidRDefault="006F54CA" w:rsidP="006F54CA">
            <w:pPr>
              <w:pBdr>
                <w:top w:val="nil"/>
                <w:left w:val="nil"/>
                <w:bottom w:val="nil"/>
                <w:right w:val="nil"/>
                <w:between w:val="nil"/>
              </w:pBdr>
              <w:jc w:val="center"/>
              <w:rPr>
                <w:b/>
                <w:color w:val="000000"/>
                <w:sz w:val="22"/>
                <w:szCs w:val="18"/>
              </w:rPr>
            </w:pPr>
            <w:r>
              <w:rPr>
                <w:b/>
                <w:color w:val="000000"/>
                <w:sz w:val="22"/>
                <w:szCs w:val="18"/>
              </w:rPr>
              <w:t>1</w:t>
            </w:r>
          </w:p>
        </w:tc>
        <w:tc>
          <w:tcPr>
            <w:tcW w:w="432" w:type="dxa"/>
            <w:shd w:val="clear" w:color="auto" w:fill="C2D69B" w:themeFill="accent3" w:themeFillTint="99"/>
            <w:vAlign w:val="center"/>
          </w:tcPr>
          <w:p w14:paraId="78E884CA" w14:textId="77777777" w:rsidR="006F54CA" w:rsidRDefault="006F54CA" w:rsidP="006F54CA">
            <w:pPr>
              <w:pBdr>
                <w:top w:val="nil"/>
                <w:left w:val="nil"/>
                <w:bottom w:val="nil"/>
                <w:right w:val="nil"/>
                <w:between w:val="nil"/>
              </w:pBdr>
              <w:jc w:val="center"/>
              <w:rPr>
                <w:b/>
                <w:color w:val="000000"/>
                <w:sz w:val="22"/>
                <w:szCs w:val="18"/>
              </w:rPr>
            </w:pPr>
            <w:r>
              <w:rPr>
                <w:b/>
                <w:color w:val="000000"/>
                <w:sz w:val="22"/>
                <w:szCs w:val="18"/>
              </w:rPr>
              <w:t>2</w:t>
            </w:r>
          </w:p>
        </w:tc>
        <w:tc>
          <w:tcPr>
            <w:tcW w:w="432" w:type="dxa"/>
            <w:shd w:val="clear" w:color="auto" w:fill="C2D69B" w:themeFill="accent3" w:themeFillTint="99"/>
            <w:vAlign w:val="center"/>
          </w:tcPr>
          <w:p w14:paraId="7A036E3D" w14:textId="77777777" w:rsidR="006F54CA" w:rsidRDefault="006F54CA" w:rsidP="006F54CA">
            <w:pPr>
              <w:pBdr>
                <w:top w:val="nil"/>
                <w:left w:val="nil"/>
                <w:bottom w:val="nil"/>
                <w:right w:val="nil"/>
                <w:between w:val="nil"/>
              </w:pBdr>
              <w:jc w:val="center"/>
              <w:rPr>
                <w:b/>
                <w:color w:val="000000"/>
                <w:sz w:val="22"/>
                <w:szCs w:val="18"/>
              </w:rPr>
            </w:pPr>
            <w:r>
              <w:rPr>
                <w:b/>
                <w:color w:val="000000"/>
                <w:sz w:val="22"/>
                <w:szCs w:val="18"/>
              </w:rPr>
              <w:t>3</w:t>
            </w:r>
          </w:p>
        </w:tc>
        <w:tc>
          <w:tcPr>
            <w:tcW w:w="432" w:type="dxa"/>
            <w:shd w:val="clear" w:color="auto" w:fill="C2D69B" w:themeFill="accent3" w:themeFillTint="99"/>
            <w:vAlign w:val="center"/>
          </w:tcPr>
          <w:p w14:paraId="7C964D78" w14:textId="77777777" w:rsidR="006F54CA" w:rsidRPr="0018042C" w:rsidRDefault="006F54CA" w:rsidP="006F54CA">
            <w:pPr>
              <w:pBdr>
                <w:top w:val="nil"/>
                <w:left w:val="nil"/>
                <w:bottom w:val="nil"/>
                <w:right w:val="nil"/>
                <w:between w:val="nil"/>
              </w:pBdr>
              <w:jc w:val="center"/>
              <w:rPr>
                <w:b/>
                <w:color w:val="000000"/>
                <w:sz w:val="22"/>
                <w:szCs w:val="18"/>
              </w:rPr>
            </w:pPr>
            <w:r>
              <w:rPr>
                <w:b/>
                <w:color w:val="000000"/>
                <w:sz w:val="22"/>
                <w:szCs w:val="18"/>
              </w:rPr>
              <w:t>4</w:t>
            </w:r>
          </w:p>
        </w:tc>
        <w:tc>
          <w:tcPr>
            <w:tcW w:w="432" w:type="dxa"/>
            <w:shd w:val="clear" w:color="auto" w:fill="C2D69B" w:themeFill="accent3" w:themeFillTint="99"/>
            <w:vAlign w:val="center"/>
          </w:tcPr>
          <w:p w14:paraId="76DB90EB" w14:textId="77777777" w:rsidR="006F54CA" w:rsidRPr="0018042C" w:rsidRDefault="006F54CA" w:rsidP="008154BE">
            <w:pPr>
              <w:pBdr>
                <w:top w:val="nil"/>
                <w:left w:val="nil"/>
                <w:bottom w:val="nil"/>
                <w:right w:val="nil"/>
                <w:between w:val="nil"/>
              </w:pBdr>
              <w:jc w:val="center"/>
              <w:rPr>
                <w:b/>
                <w:color w:val="000000"/>
                <w:sz w:val="22"/>
                <w:szCs w:val="18"/>
              </w:rPr>
            </w:pPr>
            <w:r>
              <w:rPr>
                <w:b/>
                <w:color w:val="000000"/>
                <w:sz w:val="22"/>
                <w:szCs w:val="18"/>
              </w:rPr>
              <w:t>5</w:t>
            </w:r>
          </w:p>
        </w:tc>
        <w:tc>
          <w:tcPr>
            <w:tcW w:w="5035" w:type="dxa"/>
            <w:shd w:val="clear" w:color="auto" w:fill="C2D69B" w:themeFill="accent3" w:themeFillTint="99"/>
            <w:vAlign w:val="center"/>
          </w:tcPr>
          <w:p w14:paraId="58B9E7DF" w14:textId="6A9F60AC" w:rsidR="006F54CA" w:rsidRPr="0018042C" w:rsidRDefault="5EB5728B" w:rsidP="5EB5728B">
            <w:pPr>
              <w:pBdr>
                <w:top w:val="nil"/>
                <w:left w:val="nil"/>
                <w:bottom w:val="nil"/>
                <w:right w:val="nil"/>
                <w:between w:val="nil"/>
              </w:pBdr>
              <w:jc w:val="center"/>
              <w:rPr>
                <w:b/>
                <w:bCs/>
                <w:color w:val="000000" w:themeColor="text1"/>
                <w:sz w:val="22"/>
                <w:szCs w:val="22"/>
              </w:rPr>
            </w:pPr>
            <w:r w:rsidRPr="5EB5728B">
              <w:rPr>
                <w:b/>
                <w:bCs/>
                <w:color w:val="000000" w:themeColor="text1"/>
                <w:sz w:val="22"/>
                <w:szCs w:val="22"/>
              </w:rPr>
              <w:t>Additional Considerations</w:t>
            </w:r>
          </w:p>
        </w:tc>
        <w:tc>
          <w:tcPr>
            <w:tcW w:w="2448" w:type="dxa"/>
            <w:shd w:val="clear" w:color="auto" w:fill="C2D69B" w:themeFill="accent3" w:themeFillTint="99"/>
            <w:vAlign w:val="center"/>
          </w:tcPr>
          <w:p w14:paraId="2E961B28" w14:textId="77777777" w:rsidR="006F54CA" w:rsidRPr="0018042C" w:rsidRDefault="006F54CA" w:rsidP="0018042C">
            <w:pPr>
              <w:pBdr>
                <w:top w:val="nil"/>
                <w:left w:val="nil"/>
                <w:bottom w:val="nil"/>
                <w:right w:val="nil"/>
                <w:between w:val="nil"/>
              </w:pBdr>
              <w:jc w:val="center"/>
              <w:rPr>
                <w:b/>
                <w:color w:val="000000"/>
                <w:sz w:val="22"/>
                <w:szCs w:val="18"/>
              </w:rPr>
            </w:pPr>
            <w:r>
              <w:rPr>
                <w:b/>
                <w:color w:val="000000"/>
                <w:sz w:val="22"/>
                <w:szCs w:val="18"/>
              </w:rPr>
              <w:t>Notes</w:t>
            </w:r>
          </w:p>
        </w:tc>
      </w:tr>
      <w:tr w:rsidR="00515E23" w:rsidRPr="0018042C" w14:paraId="7CB10BA1" w14:textId="77777777" w:rsidTr="00515E23">
        <w:trPr>
          <w:trHeight w:val="1223"/>
        </w:trPr>
        <w:tc>
          <w:tcPr>
            <w:tcW w:w="3600" w:type="dxa"/>
            <w:vMerge w:val="restart"/>
            <w:shd w:val="clear" w:color="auto" w:fill="auto"/>
          </w:tcPr>
          <w:p w14:paraId="77C80CAB" w14:textId="77777777" w:rsidR="00515E23" w:rsidRPr="0018042C" w:rsidRDefault="00515E23" w:rsidP="0018042C">
            <w:pPr>
              <w:numPr>
                <w:ilvl w:val="0"/>
                <w:numId w:val="28"/>
              </w:numPr>
              <w:pBdr>
                <w:top w:val="nil"/>
                <w:left w:val="nil"/>
                <w:bottom w:val="nil"/>
                <w:right w:val="nil"/>
                <w:between w:val="nil"/>
              </w:pBdr>
              <w:rPr>
                <w:color w:val="000000"/>
                <w:sz w:val="22"/>
                <w:szCs w:val="18"/>
              </w:rPr>
            </w:pPr>
            <w:r>
              <w:rPr>
                <w:b/>
                <w:color w:val="000000"/>
                <w:sz w:val="22"/>
                <w:szCs w:val="18"/>
              </w:rPr>
              <w:t>T</w:t>
            </w:r>
            <w:r w:rsidRPr="0018042C">
              <w:rPr>
                <w:b/>
                <w:color w:val="000000"/>
                <w:sz w:val="22"/>
                <w:szCs w:val="18"/>
              </w:rPr>
              <w:t>he LRE</w:t>
            </w:r>
            <w:r>
              <w:rPr>
                <w:b/>
                <w:color w:val="000000"/>
                <w:sz w:val="22"/>
                <w:szCs w:val="18"/>
              </w:rPr>
              <w:t xml:space="preserve"> determination is</w:t>
            </w:r>
            <w:r w:rsidRPr="0018042C">
              <w:rPr>
                <w:b/>
                <w:color w:val="000000"/>
                <w:sz w:val="22"/>
                <w:szCs w:val="18"/>
              </w:rPr>
              <w:t xml:space="preserve"> based</w:t>
            </w:r>
            <w:r>
              <w:rPr>
                <w:b/>
                <w:color w:val="000000"/>
                <w:sz w:val="22"/>
                <w:szCs w:val="18"/>
              </w:rPr>
              <w:t xml:space="preserve"> on current, comprehensive data.</w:t>
            </w:r>
            <w:r w:rsidRPr="0018042C">
              <w:rPr>
                <w:b/>
                <w:color w:val="000000"/>
                <w:sz w:val="22"/>
                <w:szCs w:val="18"/>
              </w:rPr>
              <w:t xml:space="preserve"> </w:t>
            </w:r>
          </w:p>
          <w:p w14:paraId="42C6D796" w14:textId="77777777" w:rsidR="00515E23" w:rsidRPr="0018042C" w:rsidRDefault="00515E23" w:rsidP="00D303A0">
            <w:pPr>
              <w:pBdr>
                <w:top w:val="nil"/>
                <w:left w:val="nil"/>
                <w:bottom w:val="nil"/>
                <w:right w:val="nil"/>
                <w:between w:val="nil"/>
              </w:pBdr>
              <w:ind w:left="360"/>
              <w:rPr>
                <w:color w:val="000000"/>
                <w:sz w:val="22"/>
                <w:szCs w:val="18"/>
              </w:rPr>
            </w:pPr>
          </w:p>
        </w:tc>
        <w:tc>
          <w:tcPr>
            <w:tcW w:w="432" w:type="dxa"/>
            <w:vAlign w:val="center"/>
          </w:tcPr>
          <w:p w14:paraId="7001A577"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0A35AC70"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4824EEDF"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4BECC4F7"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62431CDC" w14:textId="1C93DFE9" w:rsidR="00515E23" w:rsidRPr="0018042C" w:rsidRDefault="00515E23" w:rsidP="005610DC">
            <w:pPr>
              <w:pBdr>
                <w:top w:val="nil"/>
                <w:left w:val="nil"/>
                <w:bottom w:val="nil"/>
                <w:right w:val="nil"/>
                <w:between w:val="nil"/>
              </w:pBdr>
              <w:ind w:left="360"/>
              <w:jc w:val="center"/>
              <w:rPr>
                <w:color w:val="000000"/>
                <w:sz w:val="22"/>
                <w:szCs w:val="18"/>
              </w:rPr>
            </w:pPr>
          </w:p>
        </w:tc>
        <w:tc>
          <w:tcPr>
            <w:tcW w:w="5035" w:type="dxa"/>
            <w:shd w:val="clear" w:color="auto" w:fill="auto"/>
          </w:tcPr>
          <w:p w14:paraId="0E8A612E" w14:textId="7F4E04B0" w:rsidR="00515E23" w:rsidRPr="00515E23" w:rsidRDefault="00515E23" w:rsidP="00515E23">
            <w:pPr>
              <w:numPr>
                <w:ilvl w:val="0"/>
                <w:numId w:val="29"/>
              </w:numPr>
              <w:pBdr>
                <w:top w:val="nil"/>
                <w:left w:val="nil"/>
                <w:bottom w:val="nil"/>
                <w:right w:val="nil"/>
                <w:between w:val="nil"/>
              </w:pBdr>
              <w:ind w:left="342" w:hanging="342"/>
              <w:rPr>
                <w:color w:val="000000"/>
                <w:sz w:val="22"/>
                <w:szCs w:val="22"/>
              </w:rPr>
            </w:pPr>
            <w:r>
              <w:rPr>
                <w:color w:val="000000"/>
                <w:sz w:val="22"/>
                <w:szCs w:val="22"/>
              </w:rPr>
              <w:t>Sufficient</w:t>
            </w:r>
            <w:r w:rsidRPr="0018042C">
              <w:rPr>
                <w:color w:val="000000"/>
                <w:sz w:val="22"/>
                <w:szCs w:val="22"/>
              </w:rPr>
              <w:t xml:space="preserve"> data</w:t>
            </w:r>
            <w:r>
              <w:rPr>
                <w:color w:val="000000"/>
                <w:sz w:val="22"/>
                <w:szCs w:val="22"/>
              </w:rPr>
              <w:t xml:space="preserve"> is</w:t>
            </w:r>
            <w:r w:rsidRPr="0018042C">
              <w:rPr>
                <w:color w:val="000000"/>
                <w:sz w:val="22"/>
                <w:szCs w:val="22"/>
              </w:rPr>
              <w:t xml:space="preserve"> included within the present levels of educational performance (PLEPs) to determine where and how the student w</w:t>
            </w:r>
            <w:r>
              <w:rPr>
                <w:color w:val="000000"/>
                <w:sz w:val="22"/>
                <w:szCs w:val="22"/>
              </w:rPr>
              <w:t>ill participate in instruction.</w:t>
            </w:r>
          </w:p>
          <w:p w14:paraId="384BA73E" w14:textId="77777777" w:rsidR="00515E23" w:rsidRPr="008154BE" w:rsidRDefault="00515E23" w:rsidP="008154BE">
            <w:pPr>
              <w:pBdr>
                <w:top w:val="nil"/>
                <w:left w:val="nil"/>
                <w:bottom w:val="nil"/>
                <w:right w:val="nil"/>
                <w:between w:val="nil"/>
              </w:pBdr>
              <w:ind w:left="342"/>
              <w:rPr>
                <w:color w:val="000000"/>
                <w:sz w:val="10"/>
                <w:szCs w:val="18"/>
              </w:rPr>
            </w:pPr>
          </w:p>
        </w:tc>
        <w:tc>
          <w:tcPr>
            <w:tcW w:w="2448" w:type="dxa"/>
          </w:tcPr>
          <w:p w14:paraId="34B3F2EB" w14:textId="77777777" w:rsidR="00515E23" w:rsidRPr="0018042C" w:rsidRDefault="00515E23" w:rsidP="0018042C">
            <w:pPr>
              <w:pBdr>
                <w:top w:val="nil"/>
                <w:left w:val="nil"/>
                <w:bottom w:val="nil"/>
                <w:right w:val="nil"/>
                <w:between w:val="nil"/>
              </w:pBdr>
              <w:ind w:left="360"/>
              <w:rPr>
                <w:color w:val="000000"/>
                <w:sz w:val="22"/>
                <w:szCs w:val="18"/>
              </w:rPr>
            </w:pPr>
          </w:p>
        </w:tc>
      </w:tr>
      <w:tr w:rsidR="00515E23" w:rsidRPr="0018042C" w14:paraId="43E7FE14" w14:textId="77777777" w:rsidTr="00515E23">
        <w:trPr>
          <w:trHeight w:val="998"/>
        </w:trPr>
        <w:tc>
          <w:tcPr>
            <w:tcW w:w="3600" w:type="dxa"/>
            <w:vMerge/>
            <w:shd w:val="clear" w:color="auto" w:fill="auto"/>
          </w:tcPr>
          <w:p w14:paraId="62DF2EA9" w14:textId="77777777" w:rsidR="00515E23" w:rsidRDefault="00515E23" w:rsidP="0018042C">
            <w:pPr>
              <w:numPr>
                <w:ilvl w:val="0"/>
                <w:numId w:val="28"/>
              </w:numPr>
              <w:pBdr>
                <w:top w:val="nil"/>
                <w:left w:val="nil"/>
                <w:bottom w:val="nil"/>
                <w:right w:val="nil"/>
                <w:between w:val="nil"/>
              </w:pBdr>
              <w:rPr>
                <w:b/>
                <w:color w:val="000000"/>
                <w:sz w:val="22"/>
                <w:szCs w:val="18"/>
              </w:rPr>
            </w:pPr>
          </w:p>
        </w:tc>
        <w:tc>
          <w:tcPr>
            <w:tcW w:w="432" w:type="dxa"/>
            <w:vAlign w:val="center"/>
          </w:tcPr>
          <w:p w14:paraId="4BB6A32D"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389EE404"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429E5228"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4EC2A72A"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270DFBBD" w14:textId="244A2693" w:rsidR="00515E23" w:rsidRPr="0018042C" w:rsidRDefault="00515E23" w:rsidP="005610DC">
            <w:pPr>
              <w:pBdr>
                <w:top w:val="nil"/>
                <w:left w:val="nil"/>
                <w:bottom w:val="nil"/>
                <w:right w:val="nil"/>
                <w:between w:val="nil"/>
              </w:pBdr>
              <w:ind w:left="360"/>
              <w:jc w:val="center"/>
              <w:rPr>
                <w:color w:val="000000"/>
                <w:sz w:val="22"/>
                <w:szCs w:val="18"/>
              </w:rPr>
            </w:pPr>
          </w:p>
        </w:tc>
        <w:tc>
          <w:tcPr>
            <w:tcW w:w="5035" w:type="dxa"/>
            <w:shd w:val="clear" w:color="auto" w:fill="auto"/>
          </w:tcPr>
          <w:p w14:paraId="5E7F3C2D" w14:textId="7247F3EC" w:rsidR="00515E23" w:rsidRPr="00515E23" w:rsidRDefault="00515E23" w:rsidP="00515E23">
            <w:pPr>
              <w:numPr>
                <w:ilvl w:val="0"/>
                <w:numId w:val="29"/>
              </w:numPr>
              <w:pBdr>
                <w:top w:val="nil"/>
                <w:left w:val="nil"/>
                <w:bottom w:val="nil"/>
                <w:right w:val="nil"/>
                <w:between w:val="nil"/>
              </w:pBdr>
              <w:ind w:left="342" w:hanging="342"/>
              <w:rPr>
                <w:color w:val="000000" w:themeColor="text1"/>
                <w:sz w:val="22"/>
                <w:szCs w:val="22"/>
              </w:rPr>
            </w:pPr>
            <w:r w:rsidRPr="0079736B">
              <w:rPr>
                <w:color w:val="000000" w:themeColor="text1"/>
                <w:sz w:val="22"/>
                <w:szCs w:val="22"/>
              </w:rPr>
              <w:t xml:space="preserve">The data supports the LRE determined for each subject/class. </w:t>
            </w:r>
            <w:r>
              <w:rPr>
                <w:color w:val="000000" w:themeColor="text1"/>
                <w:sz w:val="22"/>
                <w:szCs w:val="22"/>
              </w:rPr>
              <w:t>For students whose LRE includes a special education setting, t</w:t>
            </w:r>
            <w:r w:rsidRPr="5EB5728B">
              <w:rPr>
                <w:color w:val="000000" w:themeColor="text1"/>
                <w:sz w:val="22"/>
                <w:szCs w:val="22"/>
              </w:rPr>
              <w:t xml:space="preserve">here is adequate evidence </w:t>
            </w:r>
            <w:r>
              <w:rPr>
                <w:color w:val="000000" w:themeColor="text1"/>
                <w:sz w:val="22"/>
                <w:szCs w:val="22"/>
              </w:rPr>
              <w:t>that general education was the first option considered by the IEP team. (</w:t>
            </w:r>
            <w:r w:rsidRPr="26261CF1">
              <w:rPr>
                <w:i/>
                <w:iCs/>
                <w:color w:val="000000" w:themeColor="text1"/>
                <w:sz w:val="22"/>
                <w:szCs w:val="22"/>
              </w:rPr>
              <w:t>e.g., evidence of accommodations and modifications attempted within the general education setting in the past paired with evidence of little to no progress made).</w:t>
            </w:r>
          </w:p>
        </w:tc>
        <w:tc>
          <w:tcPr>
            <w:tcW w:w="2448" w:type="dxa"/>
          </w:tcPr>
          <w:p w14:paraId="5234853B" w14:textId="77777777" w:rsidR="00515E23" w:rsidRPr="0018042C" w:rsidRDefault="00515E23" w:rsidP="0018042C">
            <w:pPr>
              <w:pBdr>
                <w:top w:val="nil"/>
                <w:left w:val="nil"/>
                <w:bottom w:val="nil"/>
                <w:right w:val="nil"/>
                <w:between w:val="nil"/>
              </w:pBdr>
              <w:ind w:left="360"/>
              <w:rPr>
                <w:color w:val="000000"/>
                <w:sz w:val="22"/>
                <w:szCs w:val="18"/>
              </w:rPr>
            </w:pPr>
          </w:p>
        </w:tc>
      </w:tr>
      <w:tr w:rsidR="00515E23" w:rsidRPr="0018042C" w14:paraId="1806D50D" w14:textId="77777777" w:rsidTr="009D7065">
        <w:trPr>
          <w:trHeight w:val="1358"/>
        </w:trPr>
        <w:tc>
          <w:tcPr>
            <w:tcW w:w="3600" w:type="dxa"/>
            <w:vMerge/>
            <w:shd w:val="clear" w:color="auto" w:fill="auto"/>
          </w:tcPr>
          <w:p w14:paraId="360B1058" w14:textId="77777777" w:rsidR="00515E23" w:rsidRDefault="00515E23" w:rsidP="0018042C">
            <w:pPr>
              <w:numPr>
                <w:ilvl w:val="0"/>
                <w:numId w:val="28"/>
              </w:numPr>
              <w:pBdr>
                <w:top w:val="nil"/>
                <w:left w:val="nil"/>
                <w:bottom w:val="nil"/>
                <w:right w:val="nil"/>
                <w:between w:val="nil"/>
              </w:pBdr>
              <w:rPr>
                <w:b/>
                <w:color w:val="000000"/>
                <w:sz w:val="22"/>
                <w:szCs w:val="18"/>
              </w:rPr>
            </w:pPr>
          </w:p>
        </w:tc>
        <w:tc>
          <w:tcPr>
            <w:tcW w:w="432" w:type="dxa"/>
            <w:vAlign w:val="center"/>
          </w:tcPr>
          <w:p w14:paraId="7BDE68BE"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1E654546"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2E1F58D6"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039FCB62"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617ED9F5" w14:textId="46887431" w:rsidR="00515E23" w:rsidRPr="0018042C" w:rsidRDefault="00515E23" w:rsidP="005610DC">
            <w:pPr>
              <w:pBdr>
                <w:top w:val="nil"/>
                <w:left w:val="nil"/>
                <w:bottom w:val="nil"/>
                <w:right w:val="nil"/>
                <w:between w:val="nil"/>
              </w:pBdr>
              <w:ind w:left="360"/>
              <w:jc w:val="center"/>
              <w:rPr>
                <w:color w:val="000000"/>
                <w:sz w:val="22"/>
                <w:szCs w:val="18"/>
              </w:rPr>
            </w:pPr>
          </w:p>
        </w:tc>
        <w:tc>
          <w:tcPr>
            <w:tcW w:w="5035" w:type="dxa"/>
            <w:shd w:val="clear" w:color="auto" w:fill="auto"/>
          </w:tcPr>
          <w:p w14:paraId="5A7C6B9C" w14:textId="55720B61" w:rsidR="009D7065" w:rsidRDefault="00515E23" w:rsidP="009D7065">
            <w:pPr>
              <w:numPr>
                <w:ilvl w:val="0"/>
                <w:numId w:val="29"/>
              </w:numPr>
              <w:pBdr>
                <w:top w:val="nil"/>
                <w:left w:val="nil"/>
                <w:bottom w:val="nil"/>
                <w:right w:val="nil"/>
                <w:between w:val="nil"/>
              </w:pBdr>
              <w:ind w:left="342" w:hanging="342"/>
              <w:rPr>
                <w:color w:val="000000"/>
                <w:sz w:val="22"/>
                <w:szCs w:val="22"/>
              </w:rPr>
            </w:pPr>
            <w:r w:rsidRPr="5EB5728B">
              <w:rPr>
                <w:color w:val="000000" w:themeColor="text1"/>
                <w:sz w:val="22"/>
                <w:szCs w:val="22"/>
              </w:rPr>
              <w:t>The evidence and data support the use of selected accommodations and/or modifications to support or increase meaningful participation.</w:t>
            </w:r>
          </w:p>
        </w:tc>
        <w:tc>
          <w:tcPr>
            <w:tcW w:w="2448" w:type="dxa"/>
          </w:tcPr>
          <w:p w14:paraId="7239372E" w14:textId="77777777" w:rsidR="00515E23" w:rsidRPr="0018042C" w:rsidRDefault="00515E23" w:rsidP="0018042C">
            <w:pPr>
              <w:pBdr>
                <w:top w:val="nil"/>
                <w:left w:val="nil"/>
                <w:bottom w:val="nil"/>
                <w:right w:val="nil"/>
                <w:between w:val="nil"/>
              </w:pBdr>
              <w:ind w:left="360"/>
              <w:rPr>
                <w:color w:val="000000"/>
                <w:sz w:val="22"/>
                <w:szCs w:val="18"/>
              </w:rPr>
            </w:pPr>
          </w:p>
        </w:tc>
      </w:tr>
      <w:tr w:rsidR="00515E23" w:rsidRPr="0018042C" w14:paraId="34485B47" w14:textId="77777777" w:rsidTr="009D7065">
        <w:trPr>
          <w:trHeight w:val="737"/>
        </w:trPr>
        <w:tc>
          <w:tcPr>
            <w:tcW w:w="3600" w:type="dxa"/>
            <w:vMerge w:val="restart"/>
            <w:shd w:val="clear" w:color="auto" w:fill="auto"/>
          </w:tcPr>
          <w:p w14:paraId="11F30E15" w14:textId="7713EB93" w:rsidR="00515E23" w:rsidRPr="0018042C" w:rsidRDefault="00515E23" w:rsidP="5EB5728B">
            <w:pPr>
              <w:numPr>
                <w:ilvl w:val="0"/>
                <w:numId w:val="28"/>
              </w:numPr>
              <w:pBdr>
                <w:top w:val="nil"/>
                <w:left w:val="nil"/>
                <w:bottom w:val="nil"/>
                <w:right w:val="nil"/>
                <w:between w:val="nil"/>
              </w:pBdr>
              <w:rPr>
                <w:color w:val="000000" w:themeColor="text1"/>
                <w:sz w:val="22"/>
                <w:szCs w:val="22"/>
              </w:rPr>
            </w:pPr>
            <w:r w:rsidRPr="5EB5728B">
              <w:rPr>
                <w:b/>
                <w:bCs/>
                <w:color w:val="000000" w:themeColor="text1"/>
                <w:sz w:val="22"/>
                <w:szCs w:val="22"/>
              </w:rPr>
              <w:t>There is clear evidence that the IEP team made an individualized decision based on student strengths and needs.</w:t>
            </w:r>
          </w:p>
        </w:tc>
        <w:tc>
          <w:tcPr>
            <w:tcW w:w="432" w:type="dxa"/>
            <w:vAlign w:val="center"/>
          </w:tcPr>
          <w:p w14:paraId="56E7FC83"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1CCF1BF6"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50707532"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054CEE49"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06971CD3" w14:textId="4E922025" w:rsidR="00515E23" w:rsidRPr="0018042C" w:rsidRDefault="00515E23" w:rsidP="005610DC">
            <w:pPr>
              <w:pBdr>
                <w:top w:val="nil"/>
                <w:left w:val="nil"/>
                <w:bottom w:val="nil"/>
                <w:right w:val="nil"/>
                <w:between w:val="nil"/>
              </w:pBdr>
              <w:ind w:left="360"/>
              <w:jc w:val="center"/>
              <w:rPr>
                <w:color w:val="000000"/>
                <w:sz w:val="22"/>
                <w:szCs w:val="18"/>
              </w:rPr>
            </w:pPr>
          </w:p>
        </w:tc>
        <w:tc>
          <w:tcPr>
            <w:tcW w:w="5035" w:type="dxa"/>
            <w:shd w:val="clear" w:color="auto" w:fill="auto"/>
          </w:tcPr>
          <w:p w14:paraId="03EFCA41" w14:textId="00E71EEB" w:rsidR="00515E23" w:rsidRPr="00515E23" w:rsidRDefault="00515E23" w:rsidP="00515E23">
            <w:pPr>
              <w:numPr>
                <w:ilvl w:val="0"/>
                <w:numId w:val="24"/>
              </w:numPr>
              <w:pBdr>
                <w:top w:val="nil"/>
                <w:left w:val="nil"/>
                <w:bottom w:val="nil"/>
                <w:right w:val="nil"/>
                <w:between w:val="nil"/>
              </w:pBdr>
              <w:rPr>
                <w:color w:val="000000" w:themeColor="text1"/>
                <w:sz w:val="22"/>
                <w:szCs w:val="22"/>
              </w:rPr>
            </w:pPr>
            <w:r w:rsidRPr="5EB5728B">
              <w:rPr>
                <w:color w:val="000000" w:themeColor="text1"/>
                <w:sz w:val="22"/>
                <w:szCs w:val="22"/>
              </w:rPr>
              <w:t>The student’s identified strengths in the IEP are related to learning and academics.</w:t>
            </w:r>
          </w:p>
        </w:tc>
        <w:tc>
          <w:tcPr>
            <w:tcW w:w="2448" w:type="dxa"/>
            <w:vMerge w:val="restart"/>
          </w:tcPr>
          <w:p w14:paraId="5F96A722" w14:textId="77777777" w:rsidR="00515E23" w:rsidRPr="0018042C" w:rsidRDefault="00515E23" w:rsidP="0018042C">
            <w:pPr>
              <w:pBdr>
                <w:top w:val="nil"/>
                <w:left w:val="nil"/>
                <w:bottom w:val="nil"/>
                <w:right w:val="nil"/>
                <w:between w:val="nil"/>
              </w:pBdr>
              <w:ind w:left="360"/>
              <w:rPr>
                <w:color w:val="000000"/>
                <w:sz w:val="22"/>
                <w:szCs w:val="18"/>
              </w:rPr>
            </w:pPr>
          </w:p>
        </w:tc>
      </w:tr>
      <w:tr w:rsidR="00515E23" w:rsidRPr="0018042C" w14:paraId="4A8EAB44" w14:textId="77777777" w:rsidTr="00790872">
        <w:trPr>
          <w:trHeight w:val="1650"/>
        </w:trPr>
        <w:tc>
          <w:tcPr>
            <w:tcW w:w="3600" w:type="dxa"/>
            <w:vMerge/>
            <w:shd w:val="clear" w:color="auto" w:fill="auto"/>
          </w:tcPr>
          <w:p w14:paraId="65AC47FB" w14:textId="77777777" w:rsidR="00515E23" w:rsidRPr="5EB5728B" w:rsidRDefault="00515E23" w:rsidP="5EB5728B">
            <w:pPr>
              <w:numPr>
                <w:ilvl w:val="0"/>
                <w:numId w:val="28"/>
              </w:numPr>
              <w:pBdr>
                <w:top w:val="nil"/>
                <w:left w:val="nil"/>
                <w:bottom w:val="nil"/>
                <w:right w:val="nil"/>
                <w:between w:val="nil"/>
              </w:pBdr>
              <w:rPr>
                <w:b/>
                <w:bCs/>
                <w:color w:val="000000" w:themeColor="text1"/>
                <w:sz w:val="22"/>
                <w:szCs w:val="22"/>
              </w:rPr>
            </w:pPr>
          </w:p>
        </w:tc>
        <w:tc>
          <w:tcPr>
            <w:tcW w:w="432" w:type="dxa"/>
            <w:vAlign w:val="center"/>
          </w:tcPr>
          <w:p w14:paraId="2192999B"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101B8E1A"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0C27372B"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577C172E" w14:textId="77777777" w:rsidR="00515E23" w:rsidRPr="0018042C" w:rsidRDefault="00515E23" w:rsidP="005610DC">
            <w:pPr>
              <w:pBdr>
                <w:top w:val="nil"/>
                <w:left w:val="nil"/>
                <w:bottom w:val="nil"/>
                <w:right w:val="nil"/>
                <w:between w:val="nil"/>
              </w:pBdr>
              <w:ind w:left="360"/>
              <w:jc w:val="center"/>
              <w:rPr>
                <w:color w:val="000000"/>
                <w:sz w:val="22"/>
                <w:szCs w:val="18"/>
              </w:rPr>
            </w:pPr>
          </w:p>
        </w:tc>
        <w:tc>
          <w:tcPr>
            <w:tcW w:w="432" w:type="dxa"/>
            <w:vAlign w:val="center"/>
          </w:tcPr>
          <w:p w14:paraId="1D525BBA" w14:textId="2E878F56" w:rsidR="00515E23" w:rsidRPr="0018042C" w:rsidRDefault="00515E23" w:rsidP="005610DC">
            <w:pPr>
              <w:pBdr>
                <w:top w:val="nil"/>
                <w:left w:val="nil"/>
                <w:bottom w:val="nil"/>
                <w:right w:val="nil"/>
                <w:between w:val="nil"/>
              </w:pBdr>
              <w:ind w:left="360"/>
              <w:jc w:val="center"/>
              <w:rPr>
                <w:color w:val="000000"/>
                <w:sz w:val="22"/>
                <w:szCs w:val="18"/>
              </w:rPr>
            </w:pPr>
          </w:p>
        </w:tc>
        <w:tc>
          <w:tcPr>
            <w:tcW w:w="5035" w:type="dxa"/>
            <w:shd w:val="clear" w:color="auto" w:fill="auto"/>
          </w:tcPr>
          <w:p w14:paraId="7B95A57D" w14:textId="0D254CC1" w:rsidR="009D7065" w:rsidRPr="00515E23" w:rsidRDefault="00515E23" w:rsidP="009D7065">
            <w:pPr>
              <w:numPr>
                <w:ilvl w:val="0"/>
                <w:numId w:val="24"/>
              </w:numPr>
              <w:pBdr>
                <w:top w:val="nil"/>
                <w:left w:val="nil"/>
                <w:bottom w:val="nil"/>
                <w:right w:val="nil"/>
                <w:between w:val="nil"/>
              </w:pBdr>
              <w:rPr>
                <w:color w:val="000000" w:themeColor="text1"/>
                <w:sz w:val="22"/>
                <w:szCs w:val="22"/>
              </w:rPr>
            </w:pPr>
            <w:r w:rsidRPr="4A05B977">
              <w:rPr>
                <w:color w:val="000000" w:themeColor="text1"/>
                <w:sz w:val="22"/>
                <w:szCs w:val="22"/>
              </w:rPr>
              <w:t xml:space="preserve">Student strengths have been considered in the selection/use of interventions, accommodations, modifications, or supports </w:t>
            </w:r>
            <w:r w:rsidRPr="4A05B977">
              <w:rPr>
                <w:i/>
                <w:iCs/>
                <w:color w:val="000000" w:themeColor="text1"/>
                <w:sz w:val="22"/>
                <w:szCs w:val="22"/>
              </w:rPr>
              <w:t>(e.g., a student with strong social skills using peer tutoring as an accommodation; a student with strong auditory memory skills using audio supports, etc.).</w:t>
            </w:r>
          </w:p>
        </w:tc>
        <w:tc>
          <w:tcPr>
            <w:tcW w:w="2448" w:type="dxa"/>
            <w:vMerge/>
          </w:tcPr>
          <w:p w14:paraId="36FAB215" w14:textId="77777777" w:rsidR="00515E23" w:rsidRPr="0018042C" w:rsidRDefault="00515E23" w:rsidP="0018042C">
            <w:pPr>
              <w:pBdr>
                <w:top w:val="nil"/>
                <w:left w:val="nil"/>
                <w:bottom w:val="nil"/>
                <w:right w:val="nil"/>
                <w:between w:val="nil"/>
              </w:pBdr>
              <w:ind w:left="360"/>
              <w:rPr>
                <w:color w:val="000000"/>
                <w:sz w:val="22"/>
                <w:szCs w:val="18"/>
              </w:rPr>
            </w:pPr>
          </w:p>
        </w:tc>
      </w:tr>
      <w:tr w:rsidR="009D7065" w:rsidRPr="0018042C" w14:paraId="3BB24DDE" w14:textId="77777777" w:rsidTr="009D7065">
        <w:trPr>
          <w:trHeight w:val="737"/>
        </w:trPr>
        <w:tc>
          <w:tcPr>
            <w:tcW w:w="3600" w:type="dxa"/>
            <w:vMerge w:val="restart"/>
            <w:shd w:val="clear" w:color="auto" w:fill="auto"/>
          </w:tcPr>
          <w:p w14:paraId="5F895023" w14:textId="77777777" w:rsidR="009D7065" w:rsidRPr="0018042C" w:rsidRDefault="009D7065" w:rsidP="00A364C0">
            <w:pPr>
              <w:numPr>
                <w:ilvl w:val="0"/>
                <w:numId w:val="28"/>
              </w:numPr>
              <w:pBdr>
                <w:top w:val="nil"/>
                <w:left w:val="nil"/>
                <w:bottom w:val="nil"/>
                <w:right w:val="nil"/>
                <w:between w:val="nil"/>
              </w:pBdr>
              <w:rPr>
                <w:color w:val="000000"/>
                <w:sz w:val="22"/>
                <w:szCs w:val="18"/>
              </w:rPr>
            </w:pPr>
            <w:r>
              <w:rPr>
                <w:b/>
                <w:color w:val="000000"/>
                <w:sz w:val="22"/>
                <w:szCs w:val="18"/>
              </w:rPr>
              <w:t>The selected</w:t>
            </w:r>
            <w:r w:rsidRPr="0018042C">
              <w:rPr>
                <w:b/>
                <w:color w:val="000000"/>
                <w:sz w:val="22"/>
                <w:szCs w:val="18"/>
              </w:rPr>
              <w:t xml:space="preserve"> accommodations, modifications, services, </w:t>
            </w:r>
            <w:r>
              <w:rPr>
                <w:b/>
                <w:color w:val="000000"/>
                <w:sz w:val="22"/>
                <w:szCs w:val="18"/>
              </w:rPr>
              <w:t>and/</w:t>
            </w:r>
            <w:r w:rsidRPr="0018042C">
              <w:rPr>
                <w:b/>
                <w:color w:val="000000"/>
                <w:sz w:val="22"/>
                <w:szCs w:val="18"/>
              </w:rPr>
              <w:t xml:space="preserve">or supports </w:t>
            </w:r>
            <w:r>
              <w:rPr>
                <w:b/>
                <w:color w:val="000000"/>
                <w:sz w:val="22"/>
                <w:szCs w:val="18"/>
              </w:rPr>
              <w:t>identified in the IEP</w:t>
            </w:r>
            <w:r w:rsidRPr="0018042C">
              <w:rPr>
                <w:b/>
                <w:color w:val="000000"/>
                <w:sz w:val="22"/>
                <w:szCs w:val="18"/>
              </w:rPr>
              <w:t xml:space="preserve"> increase </w:t>
            </w:r>
            <w:r>
              <w:rPr>
                <w:b/>
                <w:color w:val="000000"/>
                <w:sz w:val="22"/>
                <w:szCs w:val="18"/>
              </w:rPr>
              <w:t>the student’s active participation in instruction.</w:t>
            </w:r>
          </w:p>
        </w:tc>
        <w:tc>
          <w:tcPr>
            <w:tcW w:w="432" w:type="dxa"/>
            <w:vAlign w:val="center"/>
          </w:tcPr>
          <w:p w14:paraId="5ECDCF7D"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189DCE9F"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790C65ED"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6BAF2FD4"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675E05EE" w14:textId="4A69FAF8" w:rsidR="009D7065" w:rsidRPr="0018042C" w:rsidRDefault="009D7065" w:rsidP="005610DC">
            <w:pPr>
              <w:pBdr>
                <w:top w:val="nil"/>
                <w:left w:val="nil"/>
                <w:bottom w:val="nil"/>
                <w:right w:val="nil"/>
                <w:between w:val="nil"/>
              </w:pBdr>
              <w:ind w:left="360"/>
              <w:jc w:val="center"/>
              <w:rPr>
                <w:color w:val="000000"/>
                <w:sz w:val="22"/>
                <w:szCs w:val="18"/>
              </w:rPr>
            </w:pPr>
          </w:p>
        </w:tc>
        <w:tc>
          <w:tcPr>
            <w:tcW w:w="5035" w:type="dxa"/>
            <w:shd w:val="clear" w:color="auto" w:fill="auto"/>
          </w:tcPr>
          <w:p w14:paraId="5AE48A43" w14:textId="63C2A6FA" w:rsidR="009D7065" w:rsidRPr="009D7065" w:rsidRDefault="009D7065" w:rsidP="009D7065">
            <w:pPr>
              <w:numPr>
                <w:ilvl w:val="0"/>
                <w:numId w:val="25"/>
              </w:numPr>
              <w:pBdr>
                <w:top w:val="nil"/>
                <w:left w:val="nil"/>
                <w:bottom w:val="nil"/>
                <w:right w:val="nil"/>
                <w:between w:val="nil"/>
              </w:pBdr>
              <w:rPr>
                <w:color w:val="000000"/>
                <w:sz w:val="22"/>
                <w:szCs w:val="18"/>
              </w:rPr>
            </w:pPr>
            <w:r>
              <w:rPr>
                <w:color w:val="000000"/>
                <w:sz w:val="22"/>
                <w:szCs w:val="18"/>
              </w:rPr>
              <w:t>A</w:t>
            </w:r>
            <w:r w:rsidRPr="0018042C">
              <w:rPr>
                <w:color w:val="000000"/>
                <w:sz w:val="22"/>
                <w:szCs w:val="18"/>
              </w:rPr>
              <w:t xml:space="preserve">ccommodations and/or modifications </w:t>
            </w:r>
            <w:r>
              <w:rPr>
                <w:color w:val="000000"/>
                <w:sz w:val="22"/>
                <w:szCs w:val="18"/>
              </w:rPr>
              <w:t>are subject-specific.</w:t>
            </w:r>
          </w:p>
        </w:tc>
        <w:tc>
          <w:tcPr>
            <w:tcW w:w="2448" w:type="dxa"/>
            <w:vMerge w:val="restart"/>
          </w:tcPr>
          <w:p w14:paraId="50F40DEB" w14:textId="77777777" w:rsidR="009D7065" w:rsidRPr="0018042C" w:rsidRDefault="009D7065" w:rsidP="0018042C">
            <w:pPr>
              <w:pBdr>
                <w:top w:val="nil"/>
                <w:left w:val="nil"/>
                <w:bottom w:val="nil"/>
                <w:right w:val="nil"/>
                <w:between w:val="nil"/>
              </w:pBdr>
              <w:ind w:left="360"/>
              <w:rPr>
                <w:color w:val="000000"/>
                <w:sz w:val="22"/>
                <w:szCs w:val="18"/>
              </w:rPr>
            </w:pPr>
          </w:p>
        </w:tc>
      </w:tr>
      <w:tr w:rsidR="009D7065" w:rsidRPr="0018042C" w14:paraId="12FC7DD4" w14:textId="77777777" w:rsidTr="009D7065">
        <w:trPr>
          <w:trHeight w:val="728"/>
        </w:trPr>
        <w:tc>
          <w:tcPr>
            <w:tcW w:w="3600" w:type="dxa"/>
            <w:vMerge/>
            <w:shd w:val="clear" w:color="auto" w:fill="auto"/>
          </w:tcPr>
          <w:p w14:paraId="5CBE26FE" w14:textId="77777777" w:rsidR="009D7065" w:rsidRDefault="009D7065" w:rsidP="00A364C0">
            <w:pPr>
              <w:numPr>
                <w:ilvl w:val="0"/>
                <w:numId w:val="28"/>
              </w:numPr>
              <w:pBdr>
                <w:top w:val="nil"/>
                <w:left w:val="nil"/>
                <w:bottom w:val="nil"/>
                <w:right w:val="nil"/>
                <w:between w:val="nil"/>
              </w:pBdr>
              <w:rPr>
                <w:b/>
                <w:color w:val="000000"/>
                <w:sz w:val="22"/>
                <w:szCs w:val="18"/>
              </w:rPr>
            </w:pPr>
          </w:p>
        </w:tc>
        <w:tc>
          <w:tcPr>
            <w:tcW w:w="432" w:type="dxa"/>
            <w:vAlign w:val="center"/>
          </w:tcPr>
          <w:p w14:paraId="2928F268"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22E8507B"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45644A36"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337FD70E"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05EAC48E" w14:textId="136873A3" w:rsidR="009D7065" w:rsidRPr="0018042C" w:rsidRDefault="009D7065" w:rsidP="005610DC">
            <w:pPr>
              <w:pBdr>
                <w:top w:val="nil"/>
                <w:left w:val="nil"/>
                <w:bottom w:val="nil"/>
                <w:right w:val="nil"/>
                <w:between w:val="nil"/>
              </w:pBdr>
              <w:ind w:left="360"/>
              <w:jc w:val="center"/>
              <w:rPr>
                <w:color w:val="000000"/>
                <w:sz w:val="22"/>
                <w:szCs w:val="18"/>
              </w:rPr>
            </w:pPr>
          </w:p>
        </w:tc>
        <w:tc>
          <w:tcPr>
            <w:tcW w:w="5035" w:type="dxa"/>
            <w:shd w:val="clear" w:color="auto" w:fill="auto"/>
          </w:tcPr>
          <w:p w14:paraId="1A832CBE" w14:textId="6B3AD17D" w:rsidR="009D7065" w:rsidRPr="009D7065" w:rsidRDefault="009D7065" w:rsidP="009D7065">
            <w:pPr>
              <w:numPr>
                <w:ilvl w:val="0"/>
                <w:numId w:val="25"/>
              </w:numPr>
              <w:pBdr>
                <w:top w:val="nil"/>
                <w:left w:val="nil"/>
                <w:bottom w:val="nil"/>
                <w:right w:val="nil"/>
                <w:between w:val="nil"/>
              </w:pBdr>
              <w:rPr>
                <w:color w:val="000000"/>
                <w:sz w:val="22"/>
                <w:szCs w:val="18"/>
              </w:rPr>
            </w:pPr>
            <w:r>
              <w:rPr>
                <w:color w:val="000000"/>
                <w:sz w:val="22"/>
                <w:szCs w:val="18"/>
              </w:rPr>
              <w:t>A</w:t>
            </w:r>
            <w:r w:rsidRPr="0018042C">
              <w:rPr>
                <w:color w:val="000000"/>
                <w:sz w:val="22"/>
                <w:szCs w:val="18"/>
              </w:rPr>
              <w:t>ccommodations and/or</w:t>
            </w:r>
            <w:r>
              <w:rPr>
                <w:color w:val="000000"/>
                <w:sz w:val="22"/>
                <w:szCs w:val="18"/>
              </w:rPr>
              <w:t xml:space="preserve"> modifications are setting-specific.</w:t>
            </w:r>
          </w:p>
        </w:tc>
        <w:tc>
          <w:tcPr>
            <w:tcW w:w="2448" w:type="dxa"/>
            <w:vMerge/>
          </w:tcPr>
          <w:p w14:paraId="35582E7F" w14:textId="77777777" w:rsidR="009D7065" w:rsidRPr="0018042C" w:rsidRDefault="009D7065" w:rsidP="0018042C">
            <w:pPr>
              <w:pBdr>
                <w:top w:val="nil"/>
                <w:left w:val="nil"/>
                <w:bottom w:val="nil"/>
                <w:right w:val="nil"/>
                <w:between w:val="nil"/>
              </w:pBdr>
              <w:ind w:left="360"/>
              <w:rPr>
                <w:color w:val="000000"/>
                <w:sz w:val="22"/>
                <w:szCs w:val="18"/>
              </w:rPr>
            </w:pPr>
          </w:p>
        </w:tc>
      </w:tr>
      <w:tr w:rsidR="009D7065" w:rsidRPr="0018042C" w14:paraId="0353091B" w14:textId="77777777" w:rsidTr="00F86328">
        <w:trPr>
          <w:trHeight w:val="1035"/>
        </w:trPr>
        <w:tc>
          <w:tcPr>
            <w:tcW w:w="3600" w:type="dxa"/>
            <w:vMerge/>
            <w:shd w:val="clear" w:color="auto" w:fill="auto"/>
          </w:tcPr>
          <w:p w14:paraId="7B73F0A0" w14:textId="77777777" w:rsidR="009D7065" w:rsidRDefault="009D7065" w:rsidP="00A364C0">
            <w:pPr>
              <w:numPr>
                <w:ilvl w:val="0"/>
                <w:numId w:val="28"/>
              </w:numPr>
              <w:pBdr>
                <w:top w:val="nil"/>
                <w:left w:val="nil"/>
                <w:bottom w:val="nil"/>
                <w:right w:val="nil"/>
                <w:between w:val="nil"/>
              </w:pBdr>
              <w:rPr>
                <w:b/>
                <w:color w:val="000000"/>
                <w:sz w:val="22"/>
                <w:szCs w:val="18"/>
              </w:rPr>
            </w:pPr>
          </w:p>
        </w:tc>
        <w:tc>
          <w:tcPr>
            <w:tcW w:w="432" w:type="dxa"/>
            <w:vAlign w:val="center"/>
          </w:tcPr>
          <w:p w14:paraId="4B0FAFE0"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33DAF5AC"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720FA465"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5D229985"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29E31653" w14:textId="3E93E6F2" w:rsidR="009D7065" w:rsidRPr="0018042C" w:rsidRDefault="009D7065" w:rsidP="005610DC">
            <w:pPr>
              <w:pBdr>
                <w:top w:val="nil"/>
                <w:left w:val="nil"/>
                <w:bottom w:val="nil"/>
                <w:right w:val="nil"/>
                <w:between w:val="nil"/>
              </w:pBdr>
              <w:ind w:left="360"/>
              <w:jc w:val="center"/>
              <w:rPr>
                <w:color w:val="000000"/>
                <w:sz w:val="22"/>
                <w:szCs w:val="18"/>
              </w:rPr>
            </w:pPr>
          </w:p>
        </w:tc>
        <w:tc>
          <w:tcPr>
            <w:tcW w:w="5035" w:type="dxa"/>
            <w:shd w:val="clear" w:color="auto" w:fill="auto"/>
          </w:tcPr>
          <w:p w14:paraId="221CEF9B" w14:textId="77777777" w:rsidR="009D7065" w:rsidRDefault="009D7065" w:rsidP="009D7065">
            <w:pPr>
              <w:numPr>
                <w:ilvl w:val="0"/>
                <w:numId w:val="25"/>
              </w:numPr>
              <w:pBdr>
                <w:top w:val="nil"/>
                <w:left w:val="nil"/>
                <w:bottom w:val="nil"/>
                <w:right w:val="nil"/>
                <w:between w:val="nil"/>
              </w:pBdr>
              <w:rPr>
                <w:color w:val="000000"/>
                <w:sz w:val="22"/>
                <w:szCs w:val="18"/>
              </w:rPr>
            </w:pPr>
            <w:r>
              <w:rPr>
                <w:color w:val="000000"/>
                <w:sz w:val="22"/>
                <w:szCs w:val="18"/>
              </w:rPr>
              <w:t xml:space="preserve">Evidence of changes to the </w:t>
            </w:r>
            <w:r w:rsidRPr="0018042C">
              <w:rPr>
                <w:color w:val="000000"/>
                <w:sz w:val="22"/>
                <w:szCs w:val="18"/>
              </w:rPr>
              <w:t>accommodations, modifications, services, and/or supports as the student learns additional skills, language, and content each year</w:t>
            </w:r>
            <w:r>
              <w:rPr>
                <w:color w:val="000000"/>
                <w:sz w:val="22"/>
                <w:szCs w:val="18"/>
              </w:rPr>
              <w:t>.</w:t>
            </w:r>
          </w:p>
          <w:p w14:paraId="07DC2CB9" w14:textId="0633D2A9" w:rsidR="009D7065" w:rsidRPr="009D7065" w:rsidRDefault="009D7065" w:rsidP="009D7065">
            <w:pPr>
              <w:pBdr>
                <w:top w:val="nil"/>
                <w:left w:val="nil"/>
                <w:bottom w:val="nil"/>
                <w:right w:val="nil"/>
                <w:between w:val="nil"/>
              </w:pBdr>
              <w:ind w:left="360"/>
              <w:rPr>
                <w:color w:val="000000"/>
                <w:sz w:val="22"/>
                <w:szCs w:val="18"/>
              </w:rPr>
            </w:pPr>
          </w:p>
        </w:tc>
        <w:tc>
          <w:tcPr>
            <w:tcW w:w="2448" w:type="dxa"/>
            <w:vMerge/>
          </w:tcPr>
          <w:p w14:paraId="24AC5C06" w14:textId="77777777" w:rsidR="009D7065" w:rsidRPr="0018042C" w:rsidRDefault="009D7065" w:rsidP="0018042C">
            <w:pPr>
              <w:pBdr>
                <w:top w:val="nil"/>
                <w:left w:val="nil"/>
                <w:bottom w:val="nil"/>
                <w:right w:val="nil"/>
                <w:between w:val="nil"/>
              </w:pBdr>
              <w:ind w:left="360"/>
              <w:rPr>
                <w:color w:val="000000"/>
                <w:sz w:val="22"/>
                <w:szCs w:val="18"/>
              </w:rPr>
            </w:pPr>
          </w:p>
        </w:tc>
      </w:tr>
      <w:tr w:rsidR="006F54CA" w:rsidRPr="0018042C" w14:paraId="00C22EB4" w14:textId="77777777" w:rsidTr="0079736B">
        <w:tc>
          <w:tcPr>
            <w:tcW w:w="3600" w:type="dxa"/>
            <w:shd w:val="clear" w:color="auto" w:fill="auto"/>
          </w:tcPr>
          <w:p w14:paraId="242FB83E" w14:textId="2B4CD7FC" w:rsidR="006F54CA" w:rsidRPr="0018042C" w:rsidRDefault="7824E73B" w:rsidP="7824E73B">
            <w:pPr>
              <w:numPr>
                <w:ilvl w:val="0"/>
                <w:numId w:val="28"/>
              </w:numPr>
              <w:pBdr>
                <w:top w:val="nil"/>
                <w:left w:val="nil"/>
                <w:bottom w:val="nil"/>
                <w:right w:val="nil"/>
                <w:between w:val="nil"/>
              </w:pBdr>
              <w:rPr>
                <w:color w:val="000000" w:themeColor="text1"/>
                <w:sz w:val="22"/>
                <w:szCs w:val="22"/>
              </w:rPr>
            </w:pPr>
            <w:r w:rsidRPr="7824E73B">
              <w:rPr>
                <w:b/>
                <w:bCs/>
                <w:color w:val="000000" w:themeColor="text1"/>
                <w:sz w:val="22"/>
                <w:szCs w:val="22"/>
              </w:rPr>
              <w:lastRenderedPageBreak/>
              <w:t>There is evidence that the student requires extensive and substantial specific accommodations, modifications, services, or supports.</w:t>
            </w:r>
          </w:p>
        </w:tc>
        <w:tc>
          <w:tcPr>
            <w:tcW w:w="432" w:type="dxa"/>
            <w:vAlign w:val="center"/>
          </w:tcPr>
          <w:p w14:paraId="121FD38A" w14:textId="77777777" w:rsidR="006F54CA" w:rsidRPr="0018042C" w:rsidRDefault="006F54CA" w:rsidP="005610DC">
            <w:pPr>
              <w:pBdr>
                <w:top w:val="nil"/>
                <w:left w:val="nil"/>
                <w:bottom w:val="nil"/>
                <w:right w:val="nil"/>
                <w:between w:val="nil"/>
              </w:pBdr>
              <w:ind w:left="360"/>
              <w:jc w:val="center"/>
              <w:rPr>
                <w:color w:val="000000"/>
                <w:sz w:val="22"/>
                <w:szCs w:val="18"/>
              </w:rPr>
            </w:pPr>
          </w:p>
        </w:tc>
        <w:tc>
          <w:tcPr>
            <w:tcW w:w="432" w:type="dxa"/>
            <w:vAlign w:val="center"/>
          </w:tcPr>
          <w:p w14:paraId="1FE2DD96" w14:textId="77777777" w:rsidR="006F54CA" w:rsidRPr="0018042C" w:rsidRDefault="006F54CA" w:rsidP="005610DC">
            <w:pPr>
              <w:pBdr>
                <w:top w:val="nil"/>
                <w:left w:val="nil"/>
                <w:bottom w:val="nil"/>
                <w:right w:val="nil"/>
                <w:between w:val="nil"/>
              </w:pBdr>
              <w:ind w:left="360"/>
              <w:jc w:val="center"/>
              <w:rPr>
                <w:color w:val="000000"/>
                <w:sz w:val="22"/>
                <w:szCs w:val="18"/>
              </w:rPr>
            </w:pPr>
          </w:p>
        </w:tc>
        <w:tc>
          <w:tcPr>
            <w:tcW w:w="432" w:type="dxa"/>
            <w:vAlign w:val="center"/>
          </w:tcPr>
          <w:p w14:paraId="27357532" w14:textId="77777777" w:rsidR="006F54CA" w:rsidRPr="0018042C" w:rsidRDefault="006F54CA" w:rsidP="005610DC">
            <w:pPr>
              <w:pBdr>
                <w:top w:val="nil"/>
                <w:left w:val="nil"/>
                <w:bottom w:val="nil"/>
                <w:right w:val="nil"/>
                <w:between w:val="nil"/>
              </w:pBdr>
              <w:ind w:left="360"/>
              <w:jc w:val="center"/>
              <w:rPr>
                <w:color w:val="000000"/>
                <w:sz w:val="22"/>
                <w:szCs w:val="18"/>
              </w:rPr>
            </w:pPr>
          </w:p>
        </w:tc>
        <w:tc>
          <w:tcPr>
            <w:tcW w:w="432" w:type="dxa"/>
            <w:vAlign w:val="center"/>
          </w:tcPr>
          <w:p w14:paraId="07F023C8" w14:textId="77777777" w:rsidR="006F54CA" w:rsidRPr="0018042C" w:rsidRDefault="006F54CA" w:rsidP="005610DC">
            <w:pPr>
              <w:pBdr>
                <w:top w:val="nil"/>
                <w:left w:val="nil"/>
                <w:bottom w:val="nil"/>
                <w:right w:val="nil"/>
                <w:between w:val="nil"/>
              </w:pBdr>
              <w:ind w:left="360"/>
              <w:jc w:val="center"/>
              <w:rPr>
                <w:color w:val="000000"/>
                <w:sz w:val="22"/>
                <w:szCs w:val="18"/>
              </w:rPr>
            </w:pPr>
          </w:p>
        </w:tc>
        <w:tc>
          <w:tcPr>
            <w:tcW w:w="432" w:type="dxa"/>
            <w:vAlign w:val="center"/>
          </w:tcPr>
          <w:p w14:paraId="4BDB5498" w14:textId="77777777" w:rsidR="006F54CA" w:rsidRPr="0018042C" w:rsidRDefault="006F54CA" w:rsidP="005610DC">
            <w:pPr>
              <w:pBdr>
                <w:top w:val="nil"/>
                <w:left w:val="nil"/>
                <w:bottom w:val="nil"/>
                <w:right w:val="nil"/>
                <w:between w:val="nil"/>
              </w:pBdr>
              <w:ind w:left="360"/>
              <w:jc w:val="center"/>
              <w:rPr>
                <w:color w:val="000000"/>
                <w:sz w:val="22"/>
                <w:szCs w:val="18"/>
              </w:rPr>
            </w:pPr>
          </w:p>
        </w:tc>
        <w:tc>
          <w:tcPr>
            <w:tcW w:w="5035" w:type="dxa"/>
            <w:shd w:val="clear" w:color="auto" w:fill="auto"/>
          </w:tcPr>
          <w:p w14:paraId="6E8DB3A8" w14:textId="77777777" w:rsidR="006F54CA" w:rsidRPr="0018042C" w:rsidRDefault="008154BE" w:rsidP="0018042C">
            <w:pPr>
              <w:numPr>
                <w:ilvl w:val="0"/>
                <w:numId w:val="27"/>
              </w:numPr>
              <w:pBdr>
                <w:top w:val="nil"/>
                <w:left w:val="nil"/>
                <w:bottom w:val="nil"/>
                <w:right w:val="nil"/>
                <w:between w:val="nil"/>
              </w:pBdr>
              <w:ind w:left="342" w:hanging="342"/>
              <w:rPr>
                <w:color w:val="000000"/>
                <w:sz w:val="22"/>
                <w:szCs w:val="18"/>
              </w:rPr>
            </w:pPr>
            <w:r>
              <w:rPr>
                <w:color w:val="000000"/>
                <w:sz w:val="22"/>
                <w:szCs w:val="18"/>
              </w:rPr>
              <w:t>The</w:t>
            </w:r>
            <w:r w:rsidR="006F54CA" w:rsidRPr="0018042C">
              <w:rPr>
                <w:color w:val="000000"/>
                <w:sz w:val="22"/>
                <w:szCs w:val="18"/>
              </w:rPr>
              <w:t xml:space="preserve"> IEP contain</w:t>
            </w:r>
            <w:r>
              <w:rPr>
                <w:color w:val="000000"/>
                <w:sz w:val="22"/>
                <w:szCs w:val="18"/>
              </w:rPr>
              <w:t>s</w:t>
            </w:r>
            <w:r w:rsidR="006F54CA" w:rsidRPr="0018042C">
              <w:rPr>
                <w:color w:val="000000"/>
                <w:sz w:val="22"/>
                <w:szCs w:val="18"/>
              </w:rPr>
              <w:t xml:space="preserve"> sufficient evidence and data </w:t>
            </w:r>
            <w:r>
              <w:rPr>
                <w:color w:val="000000"/>
                <w:sz w:val="22"/>
                <w:szCs w:val="18"/>
              </w:rPr>
              <w:t xml:space="preserve">to indicate </w:t>
            </w:r>
            <w:r w:rsidR="006F54CA" w:rsidRPr="0018042C">
              <w:rPr>
                <w:color w:val="000000"/>
                <w:sz w:val="22"/>
                <w:szCs w:val="18"/>
              </w:rPr>
              <w:t xml:space="preserve">a student requires </w:t>
            </w:r>
            <w:r w:rsidR="006F54CA" w:rsidRPr="0018042C">
              <w:rPr>
                <w:i/>
                <w:color w:val="000000"/>
                <w:sz w:val="22"/>
                <w:szCs w:val="18"/>
                <w:u w:val="single"/>
              </w:rPr>
              <w:t>substantial</w:t>
            </w:r>
            <w:r w:rsidR="006F54CA" w:rsidRPr="0018042C">
              <w:rPr>
                <w:color w:val="000000"/>
                <w:sz w:val="22"/>
                <w:szCs w:val="18"/>
              </w:rPr>
              <w:t xml:space="preserve"> accommodations, modifi</w:t>
            </w:r>
            <w:r>
              <w:rPr>
                <w:color w:val="000000"/>
                <w:sz w:val="22"/>
                <w:szCs w:val="18"/>
              </w:rPr>
              <w:t>cations, services, and supports.</w:t>
            </w:r>
          </w:p>
          <w:p w14:paraId="26E2210D" w14:textId="77777777" w:rsidR="006F54CA" w:rsidRPr="0018042C" w:rsidRDefault="006F54CA" w:rsidP="0018042C">
            <w:pPr>
              <w:numPr>
                <w:ilvl w:val="0"/>
                <w:numId w:val="30"/>
              </w:numPr>
              <w:pBdr>
                <w:top w:val="nil"/>
                <w:left w:val="nil"/>
                <w:bottom w:val="nil"/>
                <w:right w:val="nil"/>
                <w:between w:val="nil"/>
              </w:pBdr>
              <w:rPr>
                <w:i/>
                <w:color w:val="000000"/>
                <w:sz w:val="22"/>
                <w:szCs w:val="18"/>
              </w:rPr>
            </w:pPr>
            <w:r w:rsidRPr="0018042C">
              <w:rPr>
                <w:i/>
                <w:color w:val="000000"/>
                <w:sz w:val="22"/>
                <w:szCs w:val="18"/>
              </w:rPr>
              <w:t>PLEPs</w:t>
            </w:r>
          </w:p>
          <w:p w14:paraId="201FE11B" w14:textId="77777777" w:rsidR="006F54CA" w:rsidRPr="0018042C" w:rsidRDefault="006F54CA" w:rsidP="0018042C">
            <w:pPr>
              <w:numPr>
                <w:ilvl w:val="0"/>
                <w:numId w:val="30"/>
              </w:numPr>
              <w:pBdr>
                <w:top w:val="nil"/>
                <w:left w:val="nil"/>
                <w:bottom w:val="nil"/>
                <w:right w:val="nil"/>
                <w:between w:val="nil"/>
              </w:pBdr>
              <w:rPr>
                <w:i/>
                <w:color w:val="000000"/>
                <w:sz w:val="22"/>
                <w:szCs w:val="18"/>
              </w:rPr>
            </w:pPr>
            <w:r w:rsidRPr="0018042C">
              <w:rPr>
                <w:i/>
                <w:color w:val="000000"/>
                <w:sz w:val="22"/>
                <w:szCs w:val="18"/>
              </w:rPr>
              <w:t>Measurable annual goals and short-term objectives</w:t>
            </w:r>
          </w:p>
          <w:p w14:paraId="26B0E2AE" w14:textId="77777777" w:rsidR="006F54CA" w:rsidRPr="008154BE" w:rsidRDefault="006F54CA" w:rsidP="0018042C">
            <w:pPr>
              <w:numPr>
                <w:ilvl w:val="0"/>
                <w:numId w:val="30"/>
              </w:numPr>
              <w:pBdr>
                <w:top w:val="nil"/>
                <w:left w:val="nil"/>
                <w:bottom w:val="nil"/>
                <w:right w:val="nil"/>
                <w:between w:val="nil"/>
              </w:pBdr>
              <w:rPr>
                <w:color w:val="000000"/>
                <w:sz w:val="22"/>
              </w:rPr>
            </w:pPr>
            <w:r w:rsidRPr="0018042C">
              <w:rPr>
                <w:i/>
                <w:color w:val="000000"/>
                <w:sz w:val="22"/>
                <w:szCs w:val="18"/>
              </w:rPr>
              <w:t>Communication needs or fluent use of an augmentative, assistive communication system (Primary language fluency and skill level (English learner) and the impact of learning a second language on the student’s performance.)</w:t>
            </w:r>
          </w:p>
          <w:p w14:paraId="2916C19D" w14:textId="77777777" w:rsidR="008154BE" w:rsidRPr="008154BE" w:rsidRDefault="008154BE" w:rsidP="008154BE">
            <w:pPr>
              <w:pBdr>
                <w:top w:val="nil"/>
                <w:left w:val="nil"/>
                <w:bottom w:val="nil"/>
                <w:right w:val="nil"/>
                <w:between w:val="nil"/>
              </w:pBdr>
              <w:ind w:left="720"/>
              <w:rPr>
                <w:color w:val="000000"/>
                <w:sz w:val="10"/>
              </w:rPr>
            </w:pPr>
          </w:p>
        </w:tc>
        <w:tc>
          <w:tcPr>
            <w:tcW w:w="2448" w:type="dxa"/>
          </w:tcPr>
          <w:p w14:paraId="74869460" w14:textId="77777777" w:rsidR="006F54CA" w:rsidRPr="0018042C" w:rsidRDefault="006F54CA" w:rsidP="0018042C">
            <w:pPr>
              <w:pBdr>
                <w:top w:val="nil"/>
                <w:left w:val="nil"/>
                <w:bottom w:val="nil"/>
                <w:right w:val="nil"/>
                <w:between w:val="nil"/>
              </w:pBdr>
              <w:ind w:left="360"/>
              <w:rPr>
                <w:color w:val="000000"/>
                <w:sz w:val="22"/>
                <w:szCs w:val="18"/>
              </w:rPr>
            </w:pPr>
          </w:p>
        </w:tc>
      </w:tr>
      <w:tr w:rsidR="009D7065" w:rsidRPr="0018042C" w14:paraId="5B792C13" w14:textId="77777777" w:rsidTr="00B265C1">
        <w:trPr>
          <w:trHeight w:val="1185"/>
        </w:trPr>
        <w:tc>
          <w:tcPr>
            <w:tcW w:w="3600" w:type="dxa"/>
            <w:vMerge w:val="restart"/>
            <w:shd w:val="clear" w:color="auto" w:fill="auto"/>
          </w:tcPr>
          <w:p w14:paraId="483541DB" w14:textId="77777777" w:rsidR="009D7065" w:rsidRPr="0018042C" w:rsidRDefault="009D7065" w:rsidP="00617548">
            <w:pPr>
              <w:numPr>
                <w:ilvl w:val="0"/>
                <w:numId w:val="28"/>
              </w:numPr>
              <w:pBdr>
                <w:top w:val="nil"/>
                <w:left w:val="nil"/>
                <w:bottom w:val="nil"/>
                <w:right w:val="nil"/>
                <w:between w:val="nil"/>
              </w:pBdr>
              <w:rPr>
                <w:color w:val="000000"/>
                <w:sz w:val="22"/>
                <w:szCs w:val="18"/>
              </w:rPr>
            </w:pPr>
            <w:r>
              <w:rPr>
                <w:b/>
                <w:color w:val="000000"/>
                <w:sz w:val="22"/>
                <w:szCs w:val="18"/>
              </w:rPr>
              <w:t>A</w:t>
            </w:r>
            <w:r w:rsidRPr="0018042C">
              <w:rPr>
                <w:b/>
                <w:color w:val="000000"/>
                <w:sz w:val="22"/>
                <w:szCs w:val="18"/>
              </w:rPr>
              <w:t xml:space="preserve"> process</w:t>
            </w:r>
            <w:r>
              <w:rPr>
                <w:b/>
                <w:color w:val="000000"/>
                <w:sz w:val="22"/>
                <w:szCs w:val="18"/>
              </w:rPr>
              <w:t xml:space="preserve"> is in place to </w:t>
            </w:r>
            <w:r w:rsidRPr="0018042C">
              <w:rPr>
                <w:b/>
                <w:color w:val="000000"/>
                <w:sz w:val="22"/>
                <w:szCs w:val="18"/>
              </w:rPr>
              <w:t>ensur</w:t>
            </w:r>
            <w:r>
              <w:rPr>
                <w:b/>
                <w:color w:val="000000"/>
                <w:sz w:val="22"/>
                <w:szCs w:val="18"/>
              </w:rPr>
              <w:t>e</w:t>
            </w:r>
            <w:r w:rsidRPr="0018042C">
              <w:rPr>
                <w:b/>
                <w:color w:val="000000"/>
                <w:sz w:val="22"/>
                <w:szCs w:val="18"/>
              </w:rPr>
              <w:t xml:space="preserve"> the accommodations, modifications, services, or supports </w:t>
            </w:r>
            <w:r>
              <w:rPr>
                <w:b/>
                <w:color w:val="000000"/>
                <w:sz w:val="22"/>
                <w:szCs w:val="18"/>
              </w:rPr>
              <w:t>are appropriate for the student.</w:t>
            </w:r>
          </w:p>
        </w:tc>
        <w:tc>
          <w:tcPr>
            <w:tcW w:w="432" w:type="dxa"/>
            <w:vAlign w:val="center"/>
          </w:tcPr>
          <w:p w14:paraId="6A75E5A4"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47F7B44C"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04CC9AC9"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385AB5F6"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464FCBC1" w14:textId="766DB998" w:rsidR="009D7065" w:rsidRPr="0018042C" w:rsidRDefault="009D7065" w:rsidP="005610DC">
            <w:pPr>
              <w:pBdr>
                <w:top w:val="nil"/>
                <w:left w:val="nil"/>
                <w:bottom w:val="nil"/>
                <w:right w:val="nil"/>
                <w:between w:val="nil"/>
              </w:pBdr>
              <w:ind w:left="360"/>
              <w:jc w:val="center"/>
              <w:rPr>
                <w:color w:val="000000"/>
                <w:sz w:val="22"/>
                <w:szCs w:val="18"/>
              </w:rPr>
            </w:pPr>
          </w:p>
        </w:tc>
        <w:tc>
          <w:tcPr>
            <w:tcW w:w="5035" w:type="dxa"/>
            <w:shd w:val="clear" w:color="auto" w:fill="auto"/>
          </w:tcPr>
          <w:p w14:paraId="677D2089" w14:textId="77777777" w:rsidR="009D7065" w:rsidRPr="0018042C" w:rsidRDefault="009D7065" w:rsidP="0018042C">
            <w:pPr>
              <w:numPr>
                <w:ilvl w:val="0"/>
                <w:numId w:val="31"/>
              </w:numPr>
              <w:pBdr>
                <w:top w:val="nil"/>
                <w:left w:val="nil"/>
                <w:bottom w:val="nil"/>
                <w:right w:val="nil"/>
                <w:between w:val="nil"/>
              </w:pBdr>
              <w:rPr>
                <w:color w:val="000000"/>
                <w:sz w:val="22"/>
                <w:szCs w:val="18"/>
              </w:rPr>
            </w:pPr>
            <w:r>
              <w:rPr>
                <w:color w:val="000000"/>
                <w:sz w:val="22"/>
                <w:szCs w:val="18"/>
              </w:rPr>
              <w:t>T</w:t>
            </w:r>
            <w:r w:rsidRPr="0018042C">
              <w:rPr>
                <w:color w:val="000000"/>
                <w:sz w:val="22"/>
                <w:szCs w:val="18"/>
              </w:rPr>
              <w:t>he impact of an accommodation, modification, se</w:t>
            </w:r>
            <w:r>
              <w:rPr>
                <w:color w:val="000000"/>
                <w:sz w:val="22"/>
                <w:szCs w:val="18"/>
              </w:rPr>
              <w:t>rvice, or support been verified.</w:t>
            </w:r>
          </w:p>
          <w:p w14:paraId="3382A365" w14:textId="77777777" w:rsidR="009D7065" w:rsidRPr="008154BE" w:rsidRDefault="009D7065" w:rsidP="009D7065">
            <w:pPr>
              <w:pBdr>
                <w:top w:val="nil"/>
                <w:left w:val="nil"/>
                <w:bottom w:val="nil"/>
                <w:right w:val="nil"/>
                <w:between w:val="nil"/>
              </w:pBdr>
              <w:rPr>
                <w:color w:val="000000"/>
                <w:sz w:val="10"/>
                <w:szCs w:val="18"/>
              </w:rPr>
            </w:pPr>
          </w:p>
        </w:tc>
        <w:tc>
          <w:tcPr>
            <w:tcW w:w="2448" w:type="dxa"/>
          </w:tcPr>
          <w:p w14:paraId="5C71F136" w14:textId="77777777" w:rsidR="009D7065" w:rsidRPr="0018042C" w:rsidRDefault="009D7065" w:rsidP="0018042C">
            <w:pPr>
              <w:pBdr>
                <w:top w:val="nil"/>
                <w:left w:val="nil"/>
                <w:bottom w:val="nil"/>
                <w:right w:val="nil"/>
                <w:between w:val="nil"/>
              </w:pBdr>
              <w:ind w:left="360"/>
              <w:rPr>
                <w:color w:val="000000"/>
                <w:sz w:val="22"/>
                <w:szCs w:val="18"/>
              </w:rPr>
            </w:pPr>
          </w:p>
        </w:tc>
      </w:tr>
      <w:tr w:rsidR="009D7065" w:rsidRPr="0018042C" w14:paraId="3050EB1C" w14:textId="77777777" w:rsidTr="00B265C1">
        <w:trPr>
          <w:trHeight w:val="1185"/>
        </w:trPr>
        <w:tc>
          <w:tcPr>
            <w:tcW w:w="3600" w:type="dxa"/>
            <w:vMerge/>
            <w:shd w:val="clear" w:color="auto" w:fill="auto"/>
          </w:tcPr>
          <w:p w14:paraId="3F36A084" w14:textId="77777777" w:rsidR="009D7065" w:rsidRDefault="009D7065" w:rsidP="00617548">
            <w:pPr>
              <w:numPr>
                <w:ilvl w:val="0"/>
                <w:numId w:val="28"/>
              </w:numPr>
              <w:pBdr>
                <w:top w:val="nil"/>
                <w:left w:val="nil"/>
                <w:bottom w:val="nil"/>
                <w:right w:val="nil"/>
                <w:between w:val="nil"/>
              </w:pBdr>
              <w:rPr>
                <w:b/>
                <w:color w:val="000000"/>
                <w:sz w:val="22"/>
                <w:szCs w:val="18"/>
              </w:rPr>
            </w:pPr>
          </w:p>
        </w:tc>
        <w:tc>
          <w:tcPr>
            <w:tcW w:w="432" w:type="dxa"/>
            <w:vAlign w:val="center"/>
          </w:tcPr>
          <w:p w14:paraId="3CA5F6A7"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45F43A9C"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457959A0"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5B7018A1" w14:textId="77777777" w:rsidR="009D7065" w:rsidRPr="0018042C" w:rsidRDefault="009D7065" w:rsidP="005610DC">
            <w:pPr>
              <w:pBdr>
                <w:top w:val="nil"/>
                <w:left w:val="nil"/>
                <w:bottom w:val="nil"/>
                <w:right w:val="nil"/>
                <w:between w:val="nil"/>
              </w:pBdr>
              <w:ind w:left="360"/>
              <w:jc w:val="center"/>
              <w:rPr>
                <w:color w:val="000000"/>
                <w:sz w:val="22"/>
                <w:szCs w:val="18"/>
              </w:rPr>
            </w:pPr>
          </w:p>
        </w:tc>
        <w:tc>
          <w:tcPr>
            <w:tcW w:w="432" w:type="dxa"/>
            <w:vAlign w:val="center"/>
          </w:tcPr>
          <w:p w14:paraId="2DB8B56E" w14:textId="6C8EC845" w:rsidR="009D7065" w:rsidRPr="0018042C" w:rsidRDefault="009D7065" w:rsidP="005610DC">
            <w:pPr>
              <w:pBdr>
                <w:top w:val="nil"/>
                <w:left w:val="nil"/>
                <w:bottom w:val="nil"/>
                <w:right w:val="nil"/>
                <w:between w:val="nil"/>
              </w:pBdr>
              <w:ind w:left="360"/>
              <w:jc w:val="center"/>
              <w:rPr>
                <w:color w:val="000000"/>
                <w:sz w:val="22"/>
                <w:szCs w:val="18"/>
              </w:rPr>
            </w:pPr>
          </w:p>
        </w:tc>
        <w:tc>
          <w:tcPr>
            <w:tcW w:w="5035" w:type="dxa"/>
            <w:shd w:val="clear" w:color="auto" w:fill="auto"/>
          </w:tcPr>
          <w:p w14:paraId="1C8F58CD" w14:textId="77777777" w:rsidR="009D7065" w:rsidRDefault="009D7065" w:rsidP="009D7065">
            <w:pPr>
              <w:numPr>
                <w:ilvl w:val="0"/>
                <w:numId w:val="31"/>
              </w:numPr>
              <w:pBdr>
                <w:top w:val="nil"/>
                <w:left w:val="nil"/>
                <w:bottom w:val="nil"/>
                <w:right w:val="nil"/>
                <w:between w:val="nil"/>
              </w:pBdr>
              <w:rPr>
                <w:color w:val="000000"/>
                <w:sz w:val="22"/>
                <w:szCs w:val="18"/>
              </w:rPr>
            </w:pPr>
            <w:r>
              <w:rPr>
                <w:color w:val="000000"/>
                <w:sz w:val="22"/>
                <w:szCs w:val="18"/>
              </w:rPr>
              <w:t>There is</w:t>
            </w:r>
            <w:r w:rsidRPr="0018042C">
              <w:rPr>
                <w:color w:val="000000"/>
                <w:sz w:val="22"/>
                <w:szCs w:val="18"/>
              </w:rPr>
              <w:t xml:space="preserve"> evidence that the student actively uses the accommodation, modification, service, or s</w:t>
            </w:r>
            <w:r>
              <w:rPr>
                <w:color w:val="000000"/>
                <w:sz w:val="22"/>
                <w:szCs w:val="18"/>
              </w:rPr>
              <w:t>upport when engaged in learning.</w:t>
            </w:r>
          </w:p>
          <w:p w14:paraId="22150FC2" w14:textId="77777777" w:rsidR="009D7065" w:rsidRDefault="009D7065" w:rsidP="009D7065">
            <w:pPr>
              <w:pBdr>
                <w:top w:val="nil"/>
                <w:left w:val="nil"/>
                <w:bottom w:val="nil"/>
                <w:right w:val="nil"/>
                <w:between w:val="nil"/>
              </w:pBdr>
              <w:rPr>
                <w:color w:val="000000"/>
                <w:sz w:val="22"/>
                <w:szCs w:val="18"/>
              </w:rPr>
            </w:pPr>
          </w:p>
        </w:tc>
        <w:tc>
          <w:tcPr>
            <w:tcW w:w="2448" w:type="dxa"/>
          </w:tcPr>
          <w:p w14:paraId="1D0A544E" w14:textId="77777777" w:rsidR="009D7065" w:rsidRPr="0018042C" w:rsidRDefault="009D7065" w:rsidP="0018042C">
            <w:pPr>
              <w:pBdr>
                <w:top w:val="nil"/>
                <w:left w:val="nil"/>
                <w:bottom w:val="nil"/>
                <w:right w:val="nil"/>
                <w:between w:val="nil"/>
              </w:pBdr>
              <w:ind w:left="360"/>
              <w:rPr>
                <w:color w:val="000000"/>
                <w:sz w:val="22"/>
                <w:szCs w:val="18"/>
              </w:rPr>
            </w:pPr>
          </w:p>
        </w:tc>
      </w:tr>
    </w:tbl>
    <w:p w14:paraId="62199465" w14:textId="77777777" w:rsidR="0018042C" w:rsidRPr="001538F7" w:rsidRDefault="0018042C" w:rsidP="00F5768E"/>
    <w:sectPr w:rsidR="0018042C" w:rsidRPr="001538F7" w:rsidSect="001538F7">
      <w:headerReference w:type="default" r:id="rId12"/>
      <w:footerReference w:type="default" r:id="rId13"/>
      <w:pgSz w:w="15840" w:h="12240" w:orient="landscape"/>
      <w:pgMar w:top="2160" w:right="2074" w:bottom="1080" w:left="1440" w:header="720" w:footer="49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4F622" w14:textId="77777777" w:rsidR="00166F46" w:rsidRDefault="00166F46">
      <w:r>
        <w:separator/>
      </w:r>
    </w:p>
  </w:endnote>
  <w:endnote w:type="continuationSeparator" w:id="0">
    <w:p w14:paraId="6374144D" w14:textId="77777777" w:rsidR="00166F46" w:rsidRDefault="0016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E7CE" w14:textId="77777777" w:rsidR="00957D28" w:rsidRDefault="00957D28">
    <w:pPr>
      <w:spacing w:before="12"/>
      <w:rPr>
        <w:sz w:val="16"/>
        <w:szCs w:val="16"/>
      </w:rPr>
    </w:pPr>
  </w:p>
  <w:p w14:paraId="41004F19" w14:textId="77777777" w:rsidR="00957D28" w:rsidRDefault="00124F43">
    <w:pPr>
      <w:rPr>
        <w:sz w:val="2"/>
        <w:szCs w:val="2"/>
      </w:rPr>
    </w:pPr>
    <w:r>
      <w:rPr>
        <w:noProof/>
        <w:sz w:val="2"/>
        <w:szCs w:val="2"/>
      </w:rPr>
      <mc:AlternateContent>
        <mc:Choice Requires="wpg">
          <w:drawing>
            <wp:inline distT="0" distB="0" distL="0" distR="0" wp14:anchorId="5B054AFC" wp14:editId="751A994F">
              <wp:extent cx="6357668" cy="45719"/>
              <wp:effectExtent l="0" t="0" r="0" b="0"/>
              <wp:docPr id="1" name="Group 1"/>
              <wp:cNvGraphicFramePr/>
              <a:graphic xmlns:a="http://schemas.openxmlformats.org/drawingml/2006/main">
                <a:graphicData uri="http://schemas.microsoft.com/office/word/2010/wordprocessingGroup">
                  <wpg:wgp>
                    <wpg:cNvGrpSpPr/>
                    <wpg:grpSpPr>
                      <a:xfrm>
                        <a:off x="0" y="0"/>
                        <a:ext cx="6357668" cy="45719"/>
                        <a:chOff x="5" y="5"/>
                        <a:chExt cx="8524110" cy="3802855"/>
                      </a:xfrm>
                    </wpg:grpSpPr>
                    <wps:wsp>
                      <wps:cNvPr id="3" name="Rectangle 3"/>
                      <wps:cNvSpPr/>
                      <wps:spPr>
                        <a:xfrm rot="10800000" flipH="1">
                          <a:off x="2167166" y="3802860"/>
                          <a:ext cx="6356949" cy="0"/>
                        </a:xfrm>
                        <a:prstGeom prst="rect">
                          <a:avLst/>
                        </a:prstGeom>
                        <a:noFill/>
                        <a:ln>
                          <a:noFill/>
                        </a:ln>
                      </wps:spPr>
                      <wps:txbx>
                        <w:txbxContent>
                          <w:p w14:paraId="67C0C651" w14:textId="77777777" w:rsidR="00957D28" w:rsidRDefault="00957D28">
                            <w:pPr>
                              <w:textDirection w:val="btLr"/>
                            </w:pPr>
                          </w:p>
                        </w:txbxContent>
                      </wps:txbx>
                      <wps:bodyPr spcFirstLastPara="1" wrap="square" lIns="91425" tIns="91425" rIns="91425" bIns="91425" anchor="ctr" anchorCtr="0"/>
                    </wps:wsp>
                    <wps:wsp>
                      <wps:cNvPr id="4" name="Freeform 4"/>
                      <wps:cNvSpPr/>
                      <wps:spPr>
                        <a:xfrm>
                          <a:off x="5" y="5"/>
                          <a:ext cx="8841" cy="2"/>
                        </a:xfrm>
                        <a:custGeom>
                          <a:avLst/>
                          <a:gdLst/>
                          <a:ahLst/>
                          <a:cxnLst/>
                          <a:rect l="0" t="0" r="0" b="0"/>
                          <a:pathLst>
                            <a:path w="8841" h="120000" extrusionOk="0">
                              <a:moveTo>
                                <a:pt x="0" y="0"/>
                              </a:moveTo>
                              <a:lnTo>
                                <a:pt x="8841" y="0"/>
                              </a:lnTo>
                            </a:path>
                          </a:pathLst>
                        </a:custGeom>
                        <a:noFill/>
                        <a:ln w="9525" cap="flat" cmpd="sng">
                          <a:solidFill>
                            <a:srgbClr val="D90030"/>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w:pict>
            <v:group w14:anchorId="5B054AFC" id="Group 1" o:spid="_x0000_s1026" style="width:500.6pt;height:3.6pt;mso-position-horizontal-relative:char;mso-position-vertical-relative:line" coordorigin="" coordsize="85241,3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">
              <v:rect id="Rectangle 3" o:spid="_x0000_s1027" style="position:absolute;left:21671;top:38028;width:63570;height:0;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Mw8QA&#10;AADaAAAADwAAAGRycy9kb3ducmV2LnhtbESPzYvCMBTE78L+D+EteJE19WuRrlFEEDwo4sfB46N5&#10;NmWbl9JEW/3rzcKCx2FmfsPMFq0txZ1qXzhWMOgnIIgzpwvOFZxP668pCB+QNZaOScGDPCzmH50Z&#10;pto1fKD7MeQiQtinqMCEUKVS+syQRd93FXH0rq62GKKsc6lrbCLclnKYJN/SYsFxwWBFK0PZ7/Fm&#10;FTzPg2K796vdZuIPy9I0l6w3HSvV/WyXPyACteEd/m9vtIIR/F2JN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RTMPEAAAA2gAAAA8AAAAAAAAAAAAAAAAAmAIAAGRycy9k&#10;b3ducmV2LnhtbFBLBQYAAAAABAAEAPUAAACJAwAAAAA=&#10;" filled="f" stroked="f">
                <v:textbox inset="2.53958mm,2.53958mm,2.53958mm,2.53958mm">
                  <w:txbxContent>
                    <w:p w14:paraId="67C0C651" w14:textId="77777777" w:rsidR="00957D28" w:rsidRDefault="00957D28">
                      <w:pPr>
                        <w:textDirection w:val="btLr"/>
                      </w:pPr>
                    </w:p>
                  </w:txbxContent>
                </v:textbox>
              </v:rect>
              <v:shape id="Freeform 4" o:spid="_x0000_s1028" style="position:absolute;width:88;height:0;visibility:visible;mso-wrap-style:square;v-text-anchor:middle" coordsize="8841,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jSsIA&#10;AADaAAAADwAAAGRycy9kb3ducmV2LnhtbESPUUsDMRCE34X+h7AF32zOIipn02IFRUGw1v6A5bK9&#10;HL1s0mR7Pf+9EQQfh5n5hlmsRt+rgVLuAhu4nlWgiJtgO24N7L6er+5BZUG22AcmA9+UYbWcXCyw&#10;tuHMnzRspVUFwrlGA04k1lrnxpHHPAuRuHj7kDxKkanVNuG5wH2v51V1qz12XBYcRnpy1By2J29A&#10;7uhjcHHzfhxPu7e0ji8i7dyYy+n4+ABKaJT/8F/71Rq4gd8r5Qb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eNKwgAAANoAAAAPAAAAAAAAAAAAAAAAAJgCAABkcnMvZG93&#10;bnJldi54bWxQSwUGAAAAAAQABAD1AAAAhwMAAAAA&#10;" path="m,l8841,e" filled="f" strokecolor="#d90030">
                <v:path arrowok="t" o:extrusionok="f" textboxrect="0,0,8841,120000"/>
              </v:shape>
              <w10:anchorlock/>
            </v:group>
          </w:pict>
        </mc:Fallback>
      </mc:AlternateContent>
    </w:r>
  </w:p>
  <w:p w14:paraId="657F105A" w14:textId="77777777" w:rsidR="00957D28" w:rsidRDefault="00124F43">
    <w:pPr>
      <w:spacing w:before="59"/>
      <w:rPr>
        <w:color w:val="7E7578"/>
        <w:sz w:val="18"/>
        <w:szCs w:val="18"/>
      </w:rPr>
    </w:pPr>
    <w:r>
      <w:rPr>
        <w:color w:val="7E7578"/>
        <w:sz w:val="18"/>
        <w:szCs w:val="18"/>
      </w:rPr>
      <w:t>Office of Special Populations • 710 James Robertson Parkway • Andrew Johnson Tower, 11</w:t>
    </w:r>
    <w:r>
      <w:rPr>
        <w:color w:val="7E7578"/>
        <w:sz w:val="18"/>
        <w:szCs w:val="18"/>
        <w:vertAlign w:val="superscript"/>
      </w:rPr>
      <w:t>th</w:t>
    </w:r>
    <w:r>
      <w:rPr>
        <w:color w:val="7E7578"/>
        <w:sz w:val="18"/>
        <w:szCs w:val="18"/>
      </w:rPr>
      <w:t xml:space="preserve"> Floor • Nashville, TN 37243 • tn.gov/education</w:t>
    </w:r>
  </w:p>
  <w:p w14:paraId="4B93C82E" w14:textId="77777777" w:rsidR="00957D28" w:rsidRDefault="00124F43">
    <w:pPr>
      <w:spacing w:before="59"/>
      <w:jc w:val="right"/>
      <w:rPr>
        <w:color w:val="7E7578"/>
        <w:sz w:val="18"/>
        <w:szCs w:val="18"/>
      </w:rPr>
    </w:pPr>
    <w:r>
      <w:rPr>
        <w:color w:val="7E7578"/>
        <w:sz w:val="18"/>
        <w:szCs w:val="18"/>
      </w:rPr>
      <w:fldChar w:fldCharType="begin"/>
    </w:r>
    <w:r>
      <w:rPr>
        <w:color w:val="7E7578"/>
        <w:sz w:val="18"/>
        <w:szCs w:val="18"/>
      </w:rPr>
      <w:instrText>PAGE</w:instrText>
    </w:r>
    <w:r>
      <w:rPr>
        <w:color w:val="7E7578"/>
        <w:sz w:val="18"/>
        <w:szCs w:val="18"/>
      </w:rPr>
      <w:fldChar w:fldCharType="separate"/>
    </w:r>
    <w:r w:rsidR="009D7065">
      <w:rPr>
        <w:noProof/>
        <w:color w:val="7E7578"/>
        <w:sz w:val="18"/>
        <w:szCs w:val="18"/>
      </w:rPr>
      <w:t>9</w:t>
    </w:r>
    <w:r>
      <w:rPr>
        <w:color w:val="7E7578"/>
        <w:sz w:val="18"/>
        <w:szCs w:val="18"/>
      </w:rPr>
      <w:fldChar w:fldCharType="end"/>
    </w:r>
    <w:r>
      <w:rPr>
        <w:color w:val="7E7578"/>
        <w:sz w:val="18"/>
        <w:szCs w:val="18"/>
      </w:rPr>
      <w:t xml:space="preserve"> | </w:t>
    </w:r>
    <w:r w:rsidR="0055754C">
      <w:rPr>
        <w:color w:val="7E7578"/>
        <w:sz w:val="18"/>
        <w:szCs w:val="18"/>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6BBC1" w14:textId="77777777" w:rsidR="00166F46" w:rsidRDefault="00166F46">
      <w:r>
        <w:separator/>
      </w:r>
    </w:p>
  </w:footnote>
  <w:footnote w:type="continuationSeparator" w:id="0">
    <w:p w14:paraId="2C1463CD" w14:textId="77777777" w:rsidR="00166F46" w:rsidRDefault="0016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78FC7" w14:textId="77777777" w:rsidR="00957D28" w:rsidRDefault="00124F43">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756A053A" wp14:editId="7F578138">
          <wp:simplePos x="0" y="0"/>
          <wp:positionH relativeFrom="margin">
            <wp:posOffset>2431</wp:posOffset>
          </wp:positionH>
          <wp:positionV relativeFrom="paragraph">
            <wp:posOffset>3976</wp:posOffset>
          </wp:positionV>
          <wp:extent cx="1486893" cy="585647"/>
          <wp:effectExtent l="0" t="0" r="0" b="0"/>
          <wp:wrapNone/>
          <wp:docPr id="2" name="image4.png" descr="C:\Users\CA19029\Documents\Brand and Style Rollout\Updated dept logo\TN Dept of Education ColorPMS -«.png"/>
          <wp:cNvGraphicFramePr/>
          <a:graphic xmlns:a="http://schemas.openxmlformats.org/drawingml/2006/main">
            <a:graphicData uri="http://schemas.openxmlformats.org/drawingml/2006/picture">
              <pic:pic xmlns:pic="http://schemas.openxmlformats.org/drawingml/2006/picture">
                <pic:nvPicPr>
                  <pic:cNvPr id="0" name="image4.png" descr="C:\Users\CA19029\Documents\Brand and Style Rollout\Updated dept logo\TN Dept of Education ColorPMS -«.png"/>
                  <pic:cNvPicPr preferRelativeResize="0"/>
                </pic:nvPicPr>
                <pic:blipFill>
                  <a:blip r:embed="rId1"/>
                  <a:srcRect/>
                  <a:stretch>
                    <a:fillRect/>
                  </a:stretch>
                </pic:blipFill>
                <pic:spPr>
                  <a:xfrm>
                    <a:off x="0" y="0"/>
                    <a:ext cx="1486893" cy="585647"/>
                  </a:xfrm>
                  <a:prstGeom prst="rect">
                    <a:avLst/>
                  </a:prstGeom>
                  <a:ln/>
                </pic:spPr>
              </pic:pic>
            </a:graphicData>
          </a:graphic>
        </wp:anchor>
      </w:drawing>
    </w:r>
  </w:p>
  <w:p w14:paraId="797E50C6" w14:textId="77777777" w:rsidR="00957D28" w:rsidRDefault="00957D2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8E0"/>
    <w:multiLevelType w:val="hybridMultilevel"/>
    <w:tmpl w:val="0096E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4714"/>
    <w:multiLevelType w:val="multilevel"/>
    <w:tmpl w:val="804C894C"/>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ED2603"/>
    <w:multiLevelType w:val="multilevel"/>
    <w:tmpl w:val="3D404396"/>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D00794A"/>
    <w:multiLevelType w:val="multilevel"/>
    <w:tmpl w:val="27F42984"/>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C61434"/>
    <w:multiLevelType w:val="multilevel"/>
    <w:tmpl w:val="96D63F14"/>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1081F01"/>
    <w:multiLevelType w:val="multilevel"/>
    <w:tmpl w:val="313C54D4"/>
    <w:lvl w:ilvl="0">
      <w:start w:val="1"/>
      <w:numFmt w:val="bullet"/>
      <w:lvlText w:val=""/>
      <w:lvlJc w:val="left"/>
      <w:pPr>
        <w:ind w:left="702" w:hanging="360"/>
      </w:pPr>
      <w:rPr>
        <w:rFonts w:ascii="Symbol" w:hAnsi="Symbol" w:hint="default"/>
      </w:rPr>
    </w:lvl>
    <w:lvl w:ilvl="1">
      <w:start w:val="1"/>
      <w:numFmt w:val="bullet"/>
      <w:lvlText w:val="o"/>
      <w:lvlJc w:val="left"/>
      <w:pPr>
        <w:ind w:left="1422" w:hanging="360"/>
      </w:pPr>
      <w:rPr>
        <w:rFonts w:ascii="Courier New" w:eastAsia="Courier New" w:hAnsi="Courier New" w:cs="Courier New"/>
      </w:rPr>
    </w:lvl>
    <w:lvl w:ilvl="2">
      <w:start w:val="1"/>
      <w:numFmt w:val="bullet"/>
      <w:lvlText w:val="▪"/>
      <w:lvlJc w:val="left"/>
      <w:pPr>
        <w:ind w:left="2142" w:hanging="360"/>
      </w:pPr>
      <w:rPr>
        <w:rFonts w:ascii="Noto Sans Symbols" w:eastAsia="Noto Sans Symbols" w:hAnsi="Noto Sans Symbols" w:cs="Noto Sans Symbols"/>
      </w:rPr>
    </w:lvl>
    <w:lvl w:ilvl="3">
      <w:start w:val="1"/>
      <w:numFmt w:val="bullet"/>
      <w:lvlText w:val="●"/>
      <w:lvlJc w:val="left"/>
      <w:pPr>
        <w:ind w:left="2862" w:hanging="360"/>
      </w:pPr>
      <w:rPr>
        <w:rFonts w:ascii="Noto Sans Symbols" w:eastAsia="Noto Sans Symbols" w:hAnsi="Noto Sans Symbols" w:cs="Noto Sans Symbols"/>
      </w:rPr>
    </w:lvl>
    <w:lvl w:ilvl="4">
      <w:start w:val="1"/>
      <w:numFmt w:val="bullet"/>
      <w:lvlText w:val="o"/>
      <w:lvlJc w:val="left"/>
      <w:pPr>
        <w:ind w:left="3582" w:hanging="360"/>
      </w:pPr>
      <w:rPr>
        <w:rFonts w:ascii="Courier New" w:eastAsia="Courier New" w:hAnsi="Courier New" w:cs="Courier New"/>
      </w:rPr>
    </w:lvl>
    <w:lvl w:ilvl="5">
      <w:start w:val="1"/>
      <w:numFmt w:val="bullet"/>
      <w:lvlText w:val="▪"/>
      <w:lvlJc w:val="left"/>
      <w:pPr>
        <w:ind w:left="4302" w:hanging="360"/>
      </w:pPr>
      <w:rPr>
        <w:rFonts w:ascii="Noto Sans Symbols" w:eastAsia="Noto Sans Symbols" w:hAnsi="Noto Sans Symbols" w:cs="Noto Sans Symbols"/>
      </w:rPr>
    </w:lvl>
    <w:lvl w:ilvl="6">
      <w:start w:val="1"/>
      <w:numFmt w:val="bullet"/>
      <w:lvlText w:val="●"/>
      <w:lvlJc w:val="left"/>
      <w:pPr>
        <w:ind w:left="5022" w:hanging="360"/>
      </w:pPr>
      <w:rPr>
        <w:rFonts w:ascii="Noto Sans Symbols" w:eastAsia="Noto Sans Symbols" w:hAnsi="Noto Sans Symbols" w:cs="Noto Sans Symbols"/>
      </w:rPr>
    </w:lvl>
    <w:lvl w:ilvl="7">
      <w:start w:val="1"/>
      <w:numFmt w:val="bullet"/>
      <w:lvlText w:val="o"/>
      <w:lvlJc w:val="left"/>
      <w:pPr>
        <w:ind w:left="5742" w:hanging="360"/>
      </w:pPr>
      <w:rPr>
        <w:rFonts w:ascii="Courier New" w:eastAsia="Courier New" w:hAnsi="Courier New" w:cs="Courier New"/>
      </w:rPr>
    </w:lvl>
    <w:lvl w:ilvl="8">
      <w:start w:val="1"/>
      <w:numFmt w:val="bullet"/>
      <w:lvlText w:val="▪"/>
      <w:lvlJc w:val="left"/>
      <w:pPr>
        <w:ind w:left="6462" w:hanging="360"/>
      </w:pPr>
      <w:rPr>
        <w:rFonts w:ascii="Noto Sans Symbols" w:eastAsia="Noto Sans Symbols" w:hAnsi="Noto Sans Symbols" w:cs="Noto Sans Symbols"/>
      </w:rPr>
    </w:lvl>
  </w:abstractNum>
  <w:abstractNum w:abstractNumId="6" w15:restartNumberingAfterBreak="0">
    <w:nsid w:val="12EC251B"/>
    <w:multiLevelType w:val="multilevel"/>
    <w:tmpl w:val="02E69336"/>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496C90"/>
    <w:multiLevelType w:val="multilevel"/>
    <w:tmpl w:val="F7180B92"/>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995E4D"/>
    <w:multiLevelType w:val="multilevel"/>
    <w:tmpl w:val="F9861188"/>
    <w:lvl w:ilvl="0">
      <w:start w:val="1"/>
      <w:numFmt w:val="upperLetter"/>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6F95F16"/>
    <w:multiLevelType w:val="multilevel"/>
    <w:tmpl w:val="96D63F14"/>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81C77F2"/>
    <w:multiLevelType w:val="hybridMultilevel"/>
    <w:tmpl w:val="8F4AA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B07AE"/>
    <w:multiLevelType w:val="multilevel"/>
    <w:tmpl w:val="4BB23C40"/>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5BC314E"/>
    <w:multiLevelType w:val="multilevel"/>
    <w:tmpl w:val="1D1635D4"/>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1A6712"/>
    <w:multiLevelType w:val="multilevel"/>
    <w:tmpl w:val="B0AC3F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AE6550D"/>
    <w:multiLevelType w:val="hybridMultilevel"/>
    <w:tmpl w:val="2918C692"/>
    <w:lvl w:ilvl="0" w:tplc="8DFC9A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8122B"/>
    <w:multiLevelType w:val="multilevel"/>
    <w:tmpl w:val="5798DB3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7F19B8"/>
    <w:multiLevelType w:val="multilevel"/>
    <w:tmpl w:val="96D63F14"/>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239453F"/>
    <w:multiLevelType w:val="multilevel"/>
    <w:tmpl w:val="995CC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485755A"/>
    <w:multiLevelType w:val="multilevel"/>
    <w:tmpl w:val="950468F0"/>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99940A0"/>
    <w:multiLevelType w:val="multilevel"/>
    <w:tmpl w:val="950468F0"/>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EB943C3"/>
    <w:multiLevelType w:val="hybridMultilevel"/>
    <w:tmpl w:val="9EF6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9346E"/>
    <w:multiLevelType w:val="hybridMultilevel"/>
    <w:tmpl w:val="193442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A65FA6"/>
    <w:multiLevelType w:val="multilevel"/>
    <w:tmpl w:val="55FCFB0E"/>
    <w:lvl w:ilvl="0">
      <w:start w:val="1"/>
      <w:numFmt w:val="upperLetter"/>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8922740"/>
    <w:multiLevelType w:val="multilevel"/>
    <w:tmpl w:val="19F8AD56"/>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1F965EF"/>
    <w:multiLevelType w:val="multilevel"/>
    <w:tmpl w:val="829C2712"/>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ADB2651"/>
    <w:multiLevelType w:val="multilevel"/>
    <w:tmpl w:val="6D525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C455529"/>
    <w:multiLevelType w:val="multilevel"/>
    <w:tmpl w:val="4BB23C40"/>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D884921"/>
    <w:multiLevelType w:val="multilevel"/>
    <w:tmpl w:val="696A7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8857C5"/>
    <w:multiLevelType w:val="multilevel"/>
    <w:tmpl w:val="BC48C43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0B17EC6"/>
    <w:multiLevelType w:val="multilevel"/>
    <w:tmpl w:val="950468F0"/>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216125E"/>
    <w:multiLevelType w:val="hybridMultilevel"/>
    <w:tmpl w:val="A616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F7160"/>
    <w:multiLevelType w:val="multilevel"/>
    <w:tmpl w:val="950468F0"/>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6BF442B"/>
    <w:multiLevelType w:val="multilevel"/>
    <w:tmpl w:val="39B8C146"/>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8593BB8"/>
    <w:multiLevelType w:val="multilevel"/>
    <w:tmpl w:val="9B14D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
  </w:num>
  <w:num w:numId="3">
    <w:abstractNumId w:val="18"/>
  </w:num>
  <w:num w:numId="4">
    <w:abstractNumId w:val="13"/>
  </w:num>
  <w:num w:numId="5">
    <w:abstractNumId w:val="3"/>
  </w:num>
  <w:num w:numId="6">
    <w:abstractNumId w:val="8"/>
  </w:num>
  <w:num w:numId="7">
    <w:abstractNumId w:val="33"/>
  </w:num>
  <w:num w:numId="8">
    <w:abstractNumId w:val="22"/>
  </w:num>
  <w:num w:numId="9">
    <w:abstractNumId w:val="29"/>
  </w:num>
  <w:num w:numId="10">
    <w:abstractNumId w:val="31"/>
  </w:num>
  <w:num w:numId="11">
    <w:abstractNumId w:val="19"/>
  </w:num>
  <w:num w:numId="12">
    <w:abstractNumId w:val="7"/>
  </w:num>
  <w:num w:numId="13">
    <w:abstractNumId w:val="4"/>
  </w:num>
  <w:num w:numId="14">
    <w:abstractNumId w:val="15"/>
  </w:num>
  <w:num w:numId="15">
    <w:abstractNumId w:val="2"/>
  </w:num>
  <w:num w:numId="16">
    <w:abstractNumId w:val="5"/>
  </w:num>
  <w:num w:numId="17">
    <w:abstractNumId w:val="23"/>
  </w:num>
  <w:num w:numId="18">
    <w:abstractNumId w:val="27"/>
  </w:num>
  <w:num w:numId="19">
    <w:abstractNumId w:val="16"/>
  </w:num>
  <w:num w:numId="20">
    <w:abstractNumId w:val="9"/>
  </w:num>
  <w:num w:numId="21">
    <w:abstractNumId w:val="17"/>
  </w:num>
  <w:num w:numId="22">
    <w:abstractNumId w:val="30"/>
  </w:num>
  <w:num w:numId="23">
    <w:abstractNumId w:val="0"/>
  </w:num>
  <w:num w:numId="24">
    <w:abstractNumId w:val="24"/>
  </w:num>
  <w:num w:numId="25">
    <w:abstractNumId w:val="26"/>
  </w:num>
  <w:num w:numId="26">
    <w:abstractNumId w:val="6"/>
  </w:num>
  <w:num w:numId="27">
    <w:abstractNumId w:val="12"/>
  </w:num>
  <w:num w:numId="28">
    <w:abstractNumId w:val="28"/>
  </w:num>
  <w:num w:numId="29">
    <w:abstractNumId w:val="32"/>
  </w:num>
  <w:num w:numId="30">
    <w:abstractNumId w:val="14"/>
  </w:num>
  <w:num w:numId="31">
    <w:abstractNumId w:val="11"/>
  </w:num>
  <w:num w:numId="32">
    <w:abstractNumId w:val="20"/>
  </w:num>
  <w:num w:numId="33">
    <w:abstractNumId w:val="1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28"/>
    <w:rsid w:val="00006ECA"/>
    <w:rsid w:val="00011A35"/>
    <w:rsid w:val="00043CD5"/>
    <w:rsid w:val="000F02EC"/>
    <w:rsid w:val="00124F43"/>
    <w:rsid w:val="001538F7"/>
    <w:rsid w:val="00166F46"/>
    <w:rsid w:val="0018042C"/>
    <w:rsid w:val="001D3205"/>
    <w:rsid w:val="00291FAB"/>
    <w:rsid w:val="002E463C"/>
    <w:rsid w:val="002F6537"/>
    <w:rsid w:val="003C341B"/>
    <w:rsid w:val="003C3991"/>
    <w:rsid w:val="003E22A7"/>
    <w:rsid w:val="003E275E"/>
    <w:rsid w:val="003E5B2C"/>
    <w:rsid w:val="00440F23"/>
    <w:rsid w:val="004554C2"/>
    <w:rsid w:val="004E3A1B"/>
    <w:rsid w:val="00515E23"/>
    <w:rsid w:val="0055754C"/>
    <w:rsid w:val="005610DC"/>
    <w:rsid w:val="005E246E"/>
    <w:rsid w:val="00617548"/>
    <w:rsid w:val="00625F13"/>
    <w:rsid w:val="006F54CA"/>
    <w:rsid w:val="007119E6"/>
    <w:rsid w:val="0079736B"/>
    <w:rsid w:val="007A089C"/>
    <w:rsid w:val="007F1112"/>
    <w:rsid w:val="008154BE"/>
    <w:rsid w:val="00876B84"/>
    <w:rsid w:val="00923A64"/>
    <w:rsid w:val="00957D28"/>
    <w:rsid w:val="00974591"/>
    <w:rsid w:val="00991F48"/>
    <w:rsid w:val="009A1199"/>
    <w:rsid w:val="009D5E08"/>
    <w:rsid w:val="009D7065"/>
    <w:rsid w:val="00A23724"/>
    <w:rsid w:val="00A364C0"/>
    <w:rsid w:val="00A42FAB"/>
    <w:rsid w:val="00AE6ECF"/>
    <w:rsid w:val="00B17BE5"/>
    <w:rsid w:val="00B23BBB"/>
    <w:rsid w:val="00B7225E"/>
    <w:rsid w:val="00D15C06"/>
    <w:rsid w:val="00D66C5B"/>
    <w:rsid w:val="00E1335F"/>
    <w:rsid w:val="00E351A4"/>
    <w:rsid w:val="00E53B50"/>
    <w:rsid w:val="00E858AB"/>
    <w:rsid w:val="00EC5AEA"/>
    <w:rsid w:val="00EC7953"/>
    <w:rsid w:val="00F53F60"/>
    <w:rsid w:val="00F55113"/>
    <w:rsid w:val="00F5768E"/>
    <w:rsid w:val="00F6778F"/>
    <w:rsid w:val="00FE1A29"/>
    <w:rsid w:val="0390F38D"/>
    <w:rsid w:val="04D29D43"/>
    <w:rsid w:val="04F5AD13"/>
    <w:rsid w:val="0A019881"/>
    <w:rsid w:val="0A71CB6C"/>
    <w:rsid w:val="14EE70DD"/>
    <w:rsid w:val="17110675"/>
    <w:rsid w:val="183D3EA8"/>
    <w:rsid w:val="191A5243"/>
    <w:rsid w:val="25FB64C6"/>
    <w:rsid w:val="26261CF1"/>
    <w:rsid w:val="26337174"/>
    <w:rsid w:val="26F16101"/>
    <w:rsid w:val="2864BEC4"/>
    <w:rsid w:val="298CECD5"/>
    <w:rsid w:val="29EA1542"/>
    <w:rsid w:val="2C05EF20"/>
    <w:rsid w:val="2C2565F2"/>
    <w:rsid w:val="2F0C4059"/>
    <w:rsid w:val="2F70ED1E"/>
    <w:rsid w:val="3075219A"/>
    <w:rsid w:val="32A68253"/>
    <w:rsid w:val="32C70067"/>
    <w:rsid w:val="33E7D731"/>
    <w:rsid w:val="384A5D54"/>
    <w:rsid w:val="3BC5B519"/>
    <w:rsid w:val="3D9FF429"/>
    <w:rsid w:val="41C3CC75"/>
    <w:rsid w:val="4573660F"/>
    <w:rsid w:val="480D60E4"/>
    <w:rsid w:val="486D5463"/>
    <w:rsid w:val="49F625B5"/>
    <w:rsid w:val="4A05B977"/>
    <w:rsid w:val="4ABA4F20"/>
    <w:rsid w:val="50A2738F"/>
    <w:rsid w:val="521616A7"/>
    <w:rsid w:val="5482205C"/>
    <w:rsid w:val="553E2613"/>
    <w:rsid w:val="59D548EC"/>
    <w:rsid w:val="5CDD605F"/>
    <w:rsid w:val="5E26C02C"/>
    <w:rsid w:val="5EB5728B"/>
    <w:rsid w:val="5F30D9BB"/>
    <w:rsid w:val="61D9BB65"/>
    <w:rsid w:val="64DFBF48"/>
    <w:rsid w:val="68B2AE18"/>
    <w:rsid w:val="6D5FC832"/>
    <w:rsid w:val="6F79E662"/>
    <w:rsid w:val="703BB147"/>
    <w:rsid w:val="709E6362"/>
    <w:rsid w:val="719C3357"/>
    <w:rsid w:val="74AC1168"/>
    <w:rsid w:val="75757BC7"/>
    <w:rsid w:val="75CFE695"/>
    <w:rsid w:val="76AE27DF"/>
    <w:rsid w:val="7824E73B"/>
    <w:rsid w:val="7A383BB0"/>
    <w:rsid w:val="7C0787DF"/>
    <w:rsid w:val="7DF22A42"/>
    <w:rsid w:val="7E7C035D"/>
    <w:rsid w:val="7F58B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BE99"/>
  <w15:docId w15:val="{2473613D-5EF5-4893-BA45-4B69A787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jc w:val="center"/>
      <w:outlineLvl w:val="0"/>
    </w:pPr>
    <w:rPr>
      <w:rFonts w:ascii="PermianSlabSerifTypeface" w:eastAsia="PermianSlabSerifTypeface" w:hAnsi="PermianSlabSerifTypeface" w:cs="PermianSlabSerifTypeface"/>
      <w:b/>
      <w:sz w:val="36"/>
      <w:szCs w:val="36"/>
    </w:rPr>
  </w:style>
  <w:style w:type="paragraph" w:styleId="Heading2">
    <w:name w:val="heading 2"/>
    <w:basedOn w:val="Normal"/>
    <w:next w:val="Normal"/>
    <w:pPr>
      <w:keepNext/>
      <w:keepLines/>
      <w:spacing w:before="200"/>
      <w:jc w:val="center"/>
      <w:outlineLvl w:val="1"/>
    </w:pPr>
    <w:rPr>
      <w:rFonts w:ascii="PermianSlabSerifTypeface" w:eastAsia="PermianSlabSerifTypeface" w:hAnsi="PermianSlabSerifTypeface" w:cs="PermianSlabSerifTypeface"/>
      <w:b/>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3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1A35"/>
    <w:rPr>
      <w:b/>
      <w:bCs/>
    </w:rPr>
  </w:style>
  <w:style w:type="character" w:customStyle="1" w:styleId="CommentSubjectChar">
    <w:name w:val="Comment Subject Char"/>
    <w:basedOn w:val="CommentTextChar"/>
    <w:link w:val="CommentSubject"/>
    <w:uiPriority w:val="99"/>
    <w:semiHidden/>
    <w:rsid w:val="00011A35"/>
    <w:rPr>
      <w:b/>
      <w:bCs/>
    </w:rPr>
  </w:style>
  <w:style w:type="paragraph" w:styleId="ListParagraph">
    <w:name w:val="List Paragraph"/>
    <w:basedOn w:val="Normal"/>
    <w:uiPriority w:val="34"/>
    <w:qFormat/>
    <w:rsid w:val="00043CD5"/>
    <w:pPr>
      <w:ind w:left="720"/>
      <w:contextualSpacing/>
    </w:pPr>
  </w:style>
  <w:style w:type="paragraph" w:styleId="Header">
    <w:name w:val="header"/>
    <w:basedOn w:val="Normal"/>
    <w:link w:val="HeaderChar"/>
    <w:uiPriority w:val="99"/>
    <w:unhideWhenUsed/>
    <w:rsid w:val="0055754C"/>
    <w:pPr>
      <w:tabs>
        <w:tab w:val="center" w:pos="4680"/>
        <w:tab w:val="right" w:pos="9360"/>
      </w:tabs>
    </w:pPr>
  </w:style>
  <w:style w:type="character" w:customStyle="1" w:styleId="HeaderChar">
    <w:name w:val="Header Char"/>
    <w:basedOn w:val="DefaultParagraphFont"/>
    <w:link w:val="Header"/>
    <w:uiPriority w:val="99"/>
    <w:rsid w:val="0055754C"/>
  </w:style>
  <w:style w:type="paragraph" w:styleId="Footer">
    <w:name w:val="footer"/>
    <w:basedOn w:val="Normal"/>
    <w:link w:val="FooterChar"/>
    <w:uiPriority w:val="99"/>
    <w:unhideWhenUsed/>
    <w:rsid w:val="0055754C"/>
    <w:pPr>
      <w:tabs>
        <w:tab w:val="center" w:pos="4680"/>
        <w:tab w:val="right" w:pos="9360"/>
      </w:tabs>
    </w:pPr>
  </w:style>
  <w:style w:type="character" w:customStyle="1" w:styleId="FooterChar">
    <w:name w:val="Footer Char"/>
    <w:basedOn w:val="DefaultParagraphFont"/>
    <w:link w:val="Footer"/>
    <w:uiPriority w:val="99"/>
    <w:rsid w:val="0055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n.gov/content/dam/tn/education/special-education/eligibility/se_intellectual_disability_evaluation_guidance_documen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n.gov/content/dam/tn/education/special-education/eligibility/se_eligibility_intellectual_di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72B5EEB94344191427212D4618584" ma:contentTypeVersion="7" ma:contentTypeDescription="Create a new document." ma:contentTypeScope="" ma:versionID="075c16eec608307dd56607cdeb211abd">
  <xsd:schema xmlns:xsd="http://www.w3.org/2001/XMLSchema" xmlns:xs="http://www.w3.org/2001/XMLSchema" xmlns:p="http://schemas.microsoft.com/office/2006/metadata/properties" xmlns:ns2="b08e46e9-85c9-478f-aec7-3dda88b9afee" xmlns:ns3="14d6fbf9-370d-49b7-8d62-cc2aed3f991c" targetNamespace="http://schemas.microsoft.com/office/2006/metadata/properties" ma:root="true" ma:fieldsID="fbd531227961bd68fa8528645b1f067d" ns2:_="" ns3:_="">
    <xsd:import namespace="b08e46e9-85c9-478f-aec7-3dda88b9afee"/>
    <xsd:import namespace="14d6fbf9-370d-49b7-8d62-cc2aed3f9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e46e9-85c9-478f-aec7-3dda88b9a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6fbf9-370d-49b7-8d62-cc2aed3f9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7C21A-92F0-496F-A122-11608D64C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4C2CAD-B27D-4A7B-9F14-EEEADE9019F8}">
  <ds:schemaRefs>
    <ds:schemaRef ds:uri="http://schemas.microsoft.com/sharepoint/v3/contenttype/forms"/>
  </ds:schemaRefs>
</ds:datastoreItem>
</file>

<file path=customXml/itemProps3.xml><?xml version="1.0" encoding="utf-8"?>
<ds:datastoreItem xmlns:ds="http://schemas.openxmlformats.org/officeDocument/2006/customXml" ds:itemID="{1A799CAD-9B65-48B5-BC4C-E6042EF43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e46e9-85c9-478f-aec7-3dda88b9afee"/>
    <ds:schemaRef ds:uri="14d6fbf9-370d-49b7-8d62-cc2aed3f9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Hassman</dc:creator>
  <cp:lastModifiedBy>Alison Gauld</cp:lastModifiedBy>
  <cp:revision>2</cp:revision>
  <cp:lastPrinted>2019-01-18T20:36:00Z</cp:lastPrinted>
  <dcterms:created xsi:type="dcterms:W3CDTF">2021-03-02T23:06:00Z</dcterms:created>
  <dcterms:modified xsi:type="dcterms:W3CDTF">2021-03-02T23:06:00Z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0x01010028072B5EEB94344191427212D4618584</vt:lpwstr>
  </property>
</Properties>
</file>