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FFB" w14:textId="7900FFC4" w:rsidR="00A576F6" w:rsidRDefault="00252143" w:rsidP="00252143">
      <w:pPr>
        <w:spacing w:after="0" w:line="240" w:lineRule="auto"/>
        <w:jc w:val="center"/>
        <w:rPr>
          <w:b/>
        </w:rPr>
      </w:pPr>
      <w:r w:rsidRPr="00252143">
        <w:rPr>
          <w:b/>
        </w:rPr>
        <w:t xml:space="preserve">State Protest Committee </w:t>
      </w:r>
      <w:r w:rsidR="00B72FA7">
        <w:rPr>
          <w:b/>
        </w:rPr>
        <w:t>Meeting No. 1</w:t>
      </w:r>
      <w:r w:rsidR="00B5314A">
        <w:rPr>
          <w:b/>
        </w:rPr>
        <w:t>7</w:t>
      </w:r>
    </w:p>
    <w:p w14:paraId="7C923853" w14:textId="77777777" w:rsidR="00675CFF" w:rsidRDefault="00252143" w:rsidP="00252143">
      <w:pPr>
        <w:spacing w:after="0" w:line="240" w:lineRule="auto"/>
        <w:jc w:val="center"/>
        <w:rPr>
          <w:b/>
        </w:rPr>
      </w:pPr>
      <w:r w:rsidRPr="00252143">
        <w:rPr>
          <w:b/>
        </w:rPr>
        <w:t>Summary of Decision</w:t>
      </w:r>
      <w:r w:rsidR="007E1D71">
        <w:rPr>
          <w:b/>
        </w:rPr>
        <w:t xml:space="preserve"> </w:t>
      </w:r>
      <w:r w:rsidR="00675CFF">
        <w:rPr>
          <w:b/>
        </w:rPr>
        <w:t>and Minutes</w:t>
      </w:r>
    </w:p>
    <w:p w14:paraId="4A70D39E" w14:textId="2E682B8C" w:rsidR="007E1D71" w:rsidRDefault="00B72FA7" w:rsidP="00252143">
      <w:pPr>
        <w:spacing w:after="0" w:line="240" w:lineRule="auto"/>
        <w:jc w:val="center"/>
        <w:rPr>
          <w:b/>
        </w:rPr>
      </w:pPr>
      <w:r>
        <w:rPr>
          <w:b/>
        </w:rPr>
        <w:t xml:space="preserve">Protest of RFP # </w:t>
      </w:r>
      <w:r w:rsidR="00397756">
        <w:rPr>
          <w:b/>
        </w:rPr>
        <w:t>32901-31247</w:t>
      </w:r>
    </w:p>
    <w:p w14:paraId="6A903C44" w14:textId="04F1C051" w:rsidR="00252143" w:rsidRDefault="00397756" w:rsidP="00B72FA7">
      <w:pPr>
        <w:jc w:val="center"/>
      </w:pPr>
      <w:r>
        <w:rPr>
          <w:b/>
        </w:rPr>
        <w:t>Inmate Communication and Related</w:t>
      </w:r>
      <w:r w:rsidR="00D82ECE">
        <w:rPr>
          <w:b/>
        </w:rPr>
        <w:t xml:space="preserve"> Services</w:t>
      </w:r>
    </w:p>
    <w:p w14:paraId="41F3CF33" w14:textId="4041F72E" w:rsidR="00675CFF" w:rsidRDefault="00252143" w:rsidP="00252143">
      <w:r>
        <w:t xml:space="preserve">The </w:t>
      </w:r>
      <w:r w:rsidR="00397756">
        <w:t>Department of Correction</w:t>
      </w:r>
      <w:r>
        <w:t xml:space="preserve"> issued </w:t>
      </w:r>
      <w:r w:rsidR="00675CFF">
        <w:t>RF</w:t>
      </w:r>
      <w:r w:rsidR="00B72FA7">
        <w:t>P</w:t>
      </w:r>
      <w:r w:rsidR="00675CFF">
        <w:t xml:space="preserve"> # </w:t>
      </w:r>
      <w:r w:rsidR="00397756">
        <w:t>32901-31247</w:t>
      </w:r>
      <w:r w:rsidR="00675CFF">
        <w:t xml:space="preserve"> for</w:t>
      </w:r>
      <w:r w:rsidR="00397756">
        <w:t xml:space="preserve"> Inmate Communications and Related </w:t>
      </w:r>
      <w:r w:rsidR="00D82ECE">
        <w:t xml:space="preserve">Services </w:t>
      </w:r>
      <w:r w:rsidR="00675CFF">
        <w:t>(“the RF</w:t>
      </w:r>
      <w:r w:rsidR="00B72FA7">
        <w:t>P</w:t>
      </w:r>
      <w:r w:rsidR="00675CFF">
        <w:t xml:space="preserve">”) on </w:t>
      </w:r>
      <w:r w:rsidR="00397756">
        <w:t>July 31</w:t>
      </w:r>
      <w:r w:rsidR="00D82ECE">
        <w:t>,</w:t>
      </w:r>
      <w:r w:rsidR="0056077D">
        <w:t xml:space="preserve"> 202</w:t>
      </w:r>
      <w:r w:rsidR="00397756">
        <w:t>0</w:t>
      </w:r>
      <w:r w:rsidR="00675CFF">
        <w:t xml:space="preserve">. The State completed the evaluations and provided its Notice of Intent to Award the contract to </w:t>
      </w:r>
      <w:r w:rsidR="00397756">
        <w:t xml:space="preserve">Global Tel*Link </w:t>
      </w:r>
      <w:r w:rsidR="00D82ECE">
        <w:t>(“</w:t>
      </w:r>
      <w:r w:rsidR="00397756">
        <w:t>GTL</w:t>
      </w:r>
      <w:r w:rsidR="00D82ECE">
        <w:t xml:space="preserve">”) </w:t>
      </w:r>
      <w:r w:rsidR="00675CFF">
        <w:t xml:space="preserve">on </w:t>
      </w:r>
      <w:r w:rsidR="00397756">
        <w:t>February 3</w:t>
      </w:r>
      <w:r w:rsidR="00D82ECE">
        <w:t>, 2022</w:t>
      </w:r>
      <w:r w:rsidR="00675CFF">
        <w:t>. On</w:t>
      </w:r>
      <w:r w:rsidR="00D91F21">
        <w:t xml:space="preserve"> </w:t>
      </w:r>
      <w:r w:rsidR="00397756">
        <w:t>February 10</w:t>
      </w:r>
      <w:r w:rsidR="00D82ECE">
        <w:t>, 2022</w:t>
      </w:r>
      <w:r w:rsidR="00675CFF">
        <w:t>,</w:t>
      </w:r>
      <w:r w:rsidR="0056077D">
        <w:t xml:space="preserve"> </w:t>
      </w:r>
      <w:r w:rsidR="00397756">
        <w:t>Securus Technologies</w:t>
      </w:r>
      <w:r w:rsidR="00D91F21">
        <w:t xml:space="preserve"> </w:t>
      </w:r>
      <w:r w:rsidR="00E64769">
        <w:t>(“</w:t>
      </w:r>
      <w:r w:rsidR="00397756">
        <w:t>Securus</w:t>
      </w:r>
      <w:r w:rsidR="00E64769">
        <w:t>”) filed a protest of that determination and the required bond amount with Chief Procurement Officer Michael Perry</w:t>
      </w:r>
      <w:r w:rsidR="00E31983">
        <w:t xml:space="preserve"> (“CPO”)</w:t>
      </w:r>
      <w:r w:rsidR="00E64769">
        <w:t xml:space="preserve">. </w:t>
      </w:r>
    </w:p>
    <w:p w14:paraId="3A64DF89" w14:textId="450075B2" w:rsidR="00252143" w:rsidRDefault="00252143" w:rsidP="00252143">
      <w:r>
        <w:t xml:space="preserve">On </w:t>
      </w:r>
      <w:r w:rsidR="00397756">
        <w:t>April 11</w:t>
      </w:r>
      <w:r w:rsidR="00D82ECE">
        <w:t>, 2022</w:t>
      </w:r>
      <w:r>
        <w:t xml:space="preserve">, the </w:t>
      </w:r>
      <w:r w:rsidR="00E31983">
        <w:t>CPO</w:t>
      </w:r>
      <w:r>
        <w:t xml:space="preserve"> issued his </w:t>
      </w:r>
      <w:r w:rsidR="0056077D">
        <w:t xml:space="preserve">written </w:t>
      </w:r>
      <w:r>
        <w:t xml:space="preserve">decision </w:t>
      </w:r>
      <w:r w:rsidR="0056077D">
        <w:t xml:space="preserve">denying </w:t>
      </w:r>
      <w:r w:rsidR="00397756">
        <w:t>Securus</w:t>
      </w:r>
      <w:r w:rsidR="00D82ECE">
        <w:t>’</w:t>
      </w:r>
      <w:r w:rsidR="0056077D">
        <w:t xml:space="preserve"> protest.  </w:t>
      </w:r>
      <w:r w:rsidR="00397756">
        <w:t>Securus</w:t>
      </w:r>
      <w:r w:rsidR="00D82ECE">
        <w:t xml:space="preserve"> </w:t>
      </w:r>
      <w:r w:rsidR="00397756">
        <w:t xml:space="preserve">filed Notice of Appeal of </w:t>
      </w:r>
      <w:r w:rsidR="00F75870">
        <w:t>the</w:t>
      </w:r>
      <w:r w:rsidR="002673D1">
        <w:t xml:space="preserve"> </w:t>
      </w:r>
      <w:r>
        <w:t>CPO</w:t>
      </w:r>
      <w:r w:rsidR="00E31983">
        <w:t>’</w:t>
      </w:r>
      <w:r>
        <w:t xml:space="preserve">s decision to the </w:t>
      </w:r>
      <w:r w:rsidRPr="00FA1FA6">
        <w:t xml:space="preserve">State Protest Committee on </w:t>
      </w:r>
      <w:r w:rsidR="00397756" w:rsidRPr="00FA1FA6">
        <w:t>April 18</w:t>
      </w:r>
      <w:r w:rsidR="00E64769" w:rsidRPr="00FA1FA6">
        <w:t>, 202</w:t>
      </w:r>
      <w:r w:rsidR="0056077D" w:rsidRPr="00FA1FA6">
        <w:t>2</w:t>
      </w:r>
      <w:r w:rsidRPr="00FA1FA6">
        <w:t>.</w:t>
      </w:r>
      <w:r w:rsidR="00E31983" w:rsidRPr="00FA1FA6">
        <w:t xml:space="preserve"> Position </w:t>
      </w:r>
      <w:r w:rsidR="00D23386" w:rsidRPr="00FA1FA6">
        <w:t>S</w:t>
      </w:r>
      <w:r w:rsidR="00E31983" w:rsidRPr="00FA1FA6">
        <w:t xml:space="preserve">tatements were submitted by </w:t>
      </w:r>
      <w:r w:rsidR="00397756" w:rsidRPr="00FA1FA6">
        <w:t>Securus</w:t>
      </w:r>
      <w:r w:rsidR="006100BC" w:rsidRPr="00FA1FA6">
        <w:t xml:space="preserve">, </w:t>
      </w:r>
      <w:r w:rsidR="00E31983" w:rsidRPr="00FA1FA6">
        <w:t xml:space="preserve">the CPO, </w:t>
      </w:r>
      <w:r w:rsidR="00D82ECE" w:rsidRPr="00FA1FA6">
        <w:t xml:space="preserve">and </w:t>
      </w:r>
      <w:r w:rsidR="00397756" w:rsidRPr="00FA1FA6">
        <w:t>GTL</w:t>
      </w:r>
      <w:r w:rsidR="00F752A2" w:rsidRPr="00FA1FA6">
        <w:t>.</w:t>
      </w:r>
      <w:r w:rsidR="00F752A2">
        <w:t xml:space="preserve"> </w:t>
      </w:r>
    </w:p>
    <w:p w14:paraId="3380928E" w14:textId="59343CC4" w:rsidR="00E005C6" w:rsidRDefault="00252143" w:rsidP="00874408">
      <w:r>
        <w:t>The State Protest Committee convened on</w:t>
      </w:r>
      <w:r w:rsidR="00D91F21">
        <w:t xml:space="preserve"> </w:t>
      </w:r>
      <w:r w:rsidR="00397756">
        <w:t>October 26</w:t>
      </w:r>
      <w:r w:rsidR="00D91F21">
        <w:t>, 2022,</w:t>
      </w:r>
      <w:r>
        <w:t xml:space="preserve"> to hear</w:t>
      </w:r>
      <w:r w:rsidR="006100BC">
        <w:t xml:space="preserve"> </w:t>
      </w:r>
      <w:r w:rsidR="00397756">
        <w:t>Securu</w:t>
      </w:r>
      <w:r>
        <w:t>s</w:t>
      </w:r>
      <w:r w:rsidR="00397756">
        <w:t>’</w:t>
      </w:r>
      <w:r>
        <w:t xml:space="preserve"> appeal. </w:t>
      </w:r>
      <w:r w:rsidR="00E005C6" w:rsidRPr="00E005C6">
        <w:t>The Committee was comp</w:t>
      </w:r>
      <w:r w:rsidR="002A7EF7">
        <w:t>ri</w:t>
      </w:r>
      <w:r w:rsidR="00E005C6" w:rsidRPr="00E005C6">
        <w:t>sed of the following members: Eugene Neubert, Deputy Commissioner of the Department of Finance and Administration (“F&amp;A”), as designee of F&amp;A Commissioner Jim Bryson; Rick Dubray, Deputy Treasurer, Support Services with the Department of Treasury, as designee of State Treasurer David Lillard; and Tom Chester, Deputy Commissioner and Chief of Staff with the Department of General Services (“DGS”), as designee of DGS Commissioner Christi Branscom.</w:t>
      </w:r>
    </w:p>
    <w:p w14:paraId="1FE91761" w14:textId="6EAB0F8D" w:rsidR="00874408" w:rsidRDefault="00252143" w:rsidP="00874408">
      <w:r>
        <w:t>The issue</w:t>
      </w:r>
      <w:r w:rsidR="00874408">
        <w:t>s</w:t>
      </w:r>
      <w:r w:rsidR="00D50BC5">
        <w:t xml:space="preserve"> alleged by </w:t>
      </w:r>
      <w:r w:rsidR="00397756">
        <w:t xml:space="preserve">Securus </w:t>
      </w:r>
      <w:r w:rsidR="00D82ECE">
        <w:t>i</w:t>
      </w:r>
      <w:r w:rsidR="00D50BC5">
        <w:t xml:space="preserve">n its </w:t>
      </w:r>
      <w:r w:rsidR="00556123">
        <w:t>February 10</w:t>
      </w:r>
      <w:r w:rsidR="00D82ECE">
        <w:t>, 2022</w:t>
      </w:r>
      <w:r w:rsidR="00D50BC5">
        <w:t xml:space="preserve">, appeal to </w:t>
      </w:r>
      <w:r>
        <w:t>the Committee</w:t>
      </w:r>
      <w:r w:rsidR="00826058">
        <w:t xml:space="preserve"> and</w:t>
      </w:r>
      <w:r w:rsidR="00D91F21">
        <w:t xml:space="preserve"> its Position Statement filed on </w:t>
      </w:r>
      <w:r w:rsidR="00556123">
        <w:t>October 12,</w:t>
      </w:r>
      <w:r w:rsidR="00FB1355">
        <w:t xml:space="preserve"> 2022</w:t>
      </w:r>
      <w:r w:rsidR="006100BC">
        <w:t xml:space="preserve">, </w:t>
      </w:r>
      <w:r w:rsidR="00E31983">
        <w:t>included the following</w:t>
      </w:r>
      <w:r>
        <w:t>:</w:t>
      </w:r>
      <w:r w:rsidR="00874408" w:rsidRPr="00874408">
        <w:t xml:space="preserve"> </w:t>
      </w:r>
    </w:p>
    <w:p w14:paraId="30FC7455" w14:textId="77777777" w:rsidR="00556123" w:rsidRDefault="00556123" w:rsidP="00556123">
      <w:pPr>
        <w:spacing w:after="0"/>
        <w:ind w:left="720"/>
      </w:pPr>
      <w:r>
        <w:t>The award to Global Tel*Link is improper under Tennessee law and contrary to the terms of the RFP for the following reasons:</w:t>
      </w:r>
    </w:p>
    <w:p w14:paraId="6007B8D8" w14:textId="6492ECF0" w:rsidR="00556123" w:rsidRDefault="00556123" w:rsidP="00556123">
      <w:pPr>
        <w:spacing w:after="0"/>
        <w:ind w:left="720" w:firstLine="720"/>
      </w:pPr>
      <w:r>
        <w:t>1.  The CPO violated the RFP and procurement law by failing to use a common standard to evaluate each proposer’s costs and applying a different standard depending upon whether a proposal was submitted under Option 1 (price per minute fee) or Option 2 (price per transaction fee), thereby causing higher costs to inmates if a price per minute method is used.</w:t>
      </w:r>
    </w:p>
    <w:p w14:paraId="0A031648" w14:textId="368BD2EB" w:rsidR="003765DF" w:rsidRDefault="00556123" w:rsidP="00556123">
      <w:pPr>
        <w:spacing w:after="0"/>
        <w:ind w:left="720" w:firstLine="720"/>
      </w:pPr>
      <w:r>
        <w:t>2.  The CPO violated the RFP and procurement law because Securus could not have known the CPO was going to compare proposals utilizing different standards.</w:t>
      </w:r>
    </w:p>
    <w:p w14:paraId="134A5B45" w14:textId="77777777" w:rsidR="00556123" w:rsidRDefault="00556123" w:rsidP="003765DF">
      <w:pPr>
        <w:spacing w:after="0"/>
        <w:ind w:left="720"/>
      </w:pPr>
    </w:p>
    <w:p w14:paraId="52BD45DC" w14:textId="2540140E" w:rsidR="0057311E" w:rsidRDefault="00401C43" w:rsidP="00556123">
      <w:pPr>
        <w:spacing w:after="0"/>
      </w:pPr>
      <w:r>
        <w:t xml:space="preserve">After </w:t>
      </w:r>
      <w:r w:rsidR="00E31983">
        <w:t xml:space="preserve">discussion and argument </w:t>
      </w:r>
      <w:r>
        <w:t xml:space="preserve">by </w:t>
      </w:r>
      <w:r w:rsidR="00E31983">
        <w:t xml:space="preserve">counsel for each of </w:t>
      </w:r>
      <w:r w:rsidR="00556123">
        <w:t>Securus</w:t>
      </w:r>
      <w:r w:rsidR="00F752A2">
        <w:t>, the CPO,</w:t>
      </w:r>
      <w:r w:rsidR="003765DF">
        <w:t xml:space="preserve"> and</w:t>
      </w:r>
      <w:r w:rsidR="00F752A2">
        <w:t xml:space="preserve"> </w:t>
      </w:r>
      <w:r w:rsidR="00556123">
        <w:t>GTL</w:t>
      </w:r>
      <w:r>
        <w:t xml:space="preserve">, the </w:t>
      </w:r>
      <w:r w:rsidR="00E31983">
        <w:t xml:space="preserve">State Protest </w:t>
      </w:r>
      <w:r>
        <w:t xml:space="preserve">Committee </w:t>
      </w:r>
      <w:r w:rsidR="0057311E">
        <w:t>unanimously upheld the decision of the CPO denying</w:t>
      </w:r>
      <w:r w:rsidR="00D91F21">
        <w:t xml:space="preserve"> </w:t>
      </w:r>
      <w:r w:rsidR="003765DF">
        <w:t>HMS’</w:t>
      </w:r>
      <w:r w:rsidR="00E31983">
        <w:t>s</w:t>
      </w:r>
      <w:r w:rsidR="00D91F21">
        <w:t xml:space="preserve"> </w:t>
      </w:r>
      <w:r w:rsidR="0057311E">
        <w:t xml:space="preserve">appeal based on the written position statements </w:t>
      </w:r>
      <w:r w:rsidR="005756EF">
        <w:t xml:space="preserve">and oral presentations </w:t>
      </w:r>
      <w:r w:rsidR="0057311E">
        <w:t xml:space="preserve">by </w:t>
      </w:r>
      <w:r w:rsidR="005756EF">
        <w:t xml:space="preserve">counsel for each of </w:t>
      </w:r>
      <w:r w:rsidR="0057311E">
        <w:t>the parties at the hearing as follows:</w:t>
      </w:r>
    </w:p>
    <w:p w14:paraId="3A6BA0FD" w14:textId="77777777" w:rsidR="00FF502F" w:rsidRDefault="00FF502F" w:rsidP="00FF502F">
      <w:pPr>
        <w:pStyle w:val="ListParagraph"/>
      </w:pPr>
    </w:p>
    <w:p w14:paraId="291B79F4" w14:textId="2734E2CB" w:rsidR="00556123" w:rsidRDefault="001E5A7A" w:rsidP="00556123">
      <w:pPr>
        <w:pStyle w:val="ListParagraph"/>
        <w:numPr>
          <w:ilvl w:val="0"/>
          <w:numId w:val="2"/>
        </w:numPr>
      </w:pPr>
      <w:r>
        <w:t xml:space="preserve">The State Protest Committee found no merit in the allegations that </w:t>
      </w:r>
      <w:r w:rsidR="00556123">
        <w:t xml:space="preserve">the CPO violated the RFP and procurement law by failing to use a common standard to evaluate each proposer’s costs and applying a different standard depending upon whether a proposal was submitted under Option 1 (price per minute) or Option 2 (price per transaction), thereby causing higher costs to inmates if a price per minute method is used.  </w:t>
      </w:r>
    </w:p>
    <w:p w14:paraId="1CB72816" w14:textId="77777777" w:rsidR="009E1B1B" w:rsidRDefault="001E5A7A" w:rsidP="00556123">
      <w:pPr>
        <w:pStyle w:val="ListParagraph"/>
        <w:numPr>
          <w:ilvl w:val="0"/>
          <w:numId w:val="2"/>
        </w:numPr>
      </w:pPr>
      <w:r>
        <w:t>T</w:t>
      </w:r>
      <w:r w:rsidR="003C0086">
        <w:t>he State Protest Committee found</w:t>
      </w:r>
      <w:r w:rsidR="009E1B1B">
        <w:t xml:space="preserve"> </w:t>
      </w:r>
      <w:r w:rsidR="003C0086">
        <w:t>that</w:t>
      </w:r>
      <w:r w:rsidR="009E1B1B">
        <w:t>:</w:t>
      </w:r>
    </w:p>
    <w:p w14:paraId="16BED2D7" w14:textId="09FA46FE" w:rsidR="00556123" w:rsidRDefault="009E1B1B" w:rsidP="009E1B1B">
      <w:pPr>
        <w:pStyle w:val="ListParagraph"/>
        <w:numPr>
          <w:ilvl w:val="1"/>
          <w:numId w:val="2"/>
        </w:numPr>
      </w:pPr>
      <w:r>
        <w:lastRenderedPageBreak/>
        <w:t>T</w:t>
      </w:r>
      <w:r w:rsidR="003C0086">
        <w:t xml:space="preserve">he </w:t>
      </w:r>
      <w:r w:rsidR="00556123">
        <w:t>original procurement required responders to provide both a price per minute and a price per transaction</w:t>
      </w:r>
      <w:r w:rsidR="00FA1FA6">
        <w:t xml:space="preserve"> pricing in the</w:t>
      </w:r>
      <w:r w:rsidR="00556123">
        <w:t xml:space="preserve"> </w:t>
      </w:r>
      <w:r>
        <w:t xml:space="preserve">response. Following questions from responders whose business model provided either price per minute or price per transaction services, the procurement was amended to require either option, but not both, to create greater competition and maintain transparency. </w:t>
      </w:r>
    </w:p>
    <w:p w14:paraId="1966F3DE" w14:textId="66A2AE01" w:rsidR="009E1B1B" w:rsidRDefault="009E1B1B" w:rsidP="009E1B1B">
      <w:pPr>
        <w:pStyle w:val="ListParagraph"/>
        <w:numPr>
          <w:ilvl w:val="1"/>
          <w:numId w:val="2"/>
        </w:numPr>
      </w:pPr>
      <w:r>
        <w:t xml:space="preserve">The language in the RFP dictated how the responses would be scored based on Option 1 or Option 2, and the responses were correctly scored according to the </w:t>
      </w:r>
      <w:r w:rsidR="0002046F">
        <w:t>clear language in the scoring guide</w:t>
      </w:r>
      <w:r>
        <w:t xml:space="preserve"> in the RFP</w:t>
      </w:r>
      <w:r w:rsidR="0014442E">
        <w:t xml:space="preserve"> by calculating each option separately</w:t>
      </w:r>
      <w:r>
        <w:t xml:space="preserve">. </w:t>
      </w:r>
    </w:p>
    <w:p w14:paraId="4D0CDCF2" w14:textId="0304B50F" w:rsidR="009E1B1B" w:rsidRDefault="0014442E" w:rsidP="0002046F">
      <w:pPr>
        <w:pStyle w:val="ListParagraph"/>
        <w:numPr>
          <w:ilvl w:val="1"/>
          <w:numId w:val="2"/>
        </w:numPr>
      </w:pPr>
      <w:r>
        <w:t>Based on these findings, t</w:t>
      </w:r>
      <w:r w:rsidR="009E1B1B">
        <w:t>he</w:t>
      </w:r>
      <w:r w:rsidR="0002046F">
        <w:t xml:space="preserve"> procurement was transparent, and if Securus had concerns with the pricing evaluation set out in the procurement, it had the opportunity prior to the bidding process to raise that claim. </w:t>
      </w:r>
    </w:p>
    <w:p w14:paraId="6A241050" w14:textId="6773D58D" w:rsidR="007E3E3E" w:rsidRDefault="0002046F" w:rsidP="005756EF">
      <w:pPr>
        <w:pStyle w:val="ListParagraph"/>
        <w:numPr>
          <w:ilvl w:val="0"/>
          <w:numId w:val="2"/>
        </w:numPr>
      </w:pPr>
      <w:r>
        <w:t xml:space="preserve">Upon proper motion and second, the State Protest </w:t>
      </w:r>
      <w:r w:rsidR="002911B5">
        <w:t xml:space="preserve">Committee </w:t>
      </w:r>
      <w:r>
        <w:t>unanimously voted to deny the protest and uph</w:t>
      </w:r>
      <w:r w:rsidR="00FA1FA6">
        <w:t>o</w:t>
      </w:r>
      <w:r>
        <w:t xml:space="preserve">ld the previous decision of the CPO.  </w:t>
      </w:r>
    </w:p>
    <w:p w14:paraId="17B482A5" w14:textId="77777777" w:rsidR="0014442E" w:rsidRDefault="0014442E" w:rsidP="0014442E">
      <w:pPr>
        <w:pStyle w:val="ListParagraph"/>
        <w:ind w:left="990"/>
      </w:pPr>
    </w:p>
    <w:p w14:paraId="172DA9BA" w14:textId="2908BA27" w:rsidR="005756EF" w:rsidRDefault="00F752A2" w:rsidP="005756EF">
      <w:pPr>
        <w:pStyle w:val="ListParagraph"/>
      </w:pPr>
      <w:r>
        <w:t>The State Protest Committee next addressed the protest bond which had been filed by</w:t>
      </w:r>
      <w:r w:rsidR="007E3E3E">
        <w:t xml:space="preserve"> </w:t>
      </w:r>
      <w:r w:rsidR="0002046F">
        <w:t>Securus</w:t>
      </w:r>
      <w:r w:rsidR="007E3E3E">
        <w:t xml:space="preserve"> as</w:t>
      </w:r>
      <w:r>
        <w:t xml:space="preserve"> the protesting party of the underlying protest to the CPO pursuant to Tenn. Code Ann. </w:t>
      </w:r>
      <w:r>
        <w:rPr>
          <w:rFonts w:cstheme="minorHAnsi"/>
        </w:rPr>
        <w:t xml:space="preserve">§ </w:t>
      </w:r>
      <w:r w:rsidRPr="00EE6983">
        <w:rPr>
          <w:rFonts w:cstheme="minorHAnsi"/>
        </w:rPr>
        <w:t>12-3-514</w:t>
      </w:r>
      <w:r>
        <w:t xml:space="preserve">. The State Protest Committee found that </w:t>
      </w:r>
      <w:bookmarkStart w:id="0" w:name="_Hlk94887197"/>
      <w:r>
        <w:t xml:space="preserve">there was no reason to continue to hold the Protest Bond. The State Protest Committee unanimously voted to return the protest bond to </w:t>
      </w:r>
      <w:bookmarkEnd w:id="0"/>
      <w:r w:rsidR="0002046F">
        <w:t>Securus</w:t>
      </w:r>
      <w:r w:rsidR="005E5DF7">
        <w:t>.</w:t>
      </w:r>
    </w:p>
    <w:sectPr w:rsidR="0057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A6"/>
    <w:multiLevelType w:val="hybridMultilevel"/>
    <w:tmpl w:val="8C2AC0BE"/>
    <w:lvl w:ilvl="0" w:tplc="61F0908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D2EB4"/>
    <w:multiLevelType w:val="hybridMultilevel"/>
    <w:tmpl w:val="BAE8FBB0"/>
    <w:lvl w:ilvl="0" w:tplc="E1E4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374F0"/>
    <w:multiLevelType w:val="hybridMultilevel"/>
    <w:tmpl w:val="BD9699AE"/>
    <w:lvl w:ilvl="0" w:tplc="2F8EA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4B529E"/>
    <w:multiLevelType w:val="hybridMultilevel"/>
    <w:tmpl w:val="5BB81D92"/>
    <w:lvl w:ilvl="0" w:tplc="61F09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086900"/>
    <w:multiLevelType w:val="hybridMultilevel"/>
    <w:tmpl w:val="26E0DDBE"/>
    <w:lvl w:ilvl="0" w:tplc="61F0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B7A8D"/>
    <w:multiLevelType w:val="hybridMultilevel"/>
    <w:tmpl w:val="0BA0533E"/>
    <w:lvl w:ilvl="0" w:tplc="DC2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5E48"/>
    <w:multiLevelType w:val="hybridMultilevel"/>
    <w:tmpl w:val="DB6677AA"/>
    <w:lvl w:ilvl="0" w:tplc="4D0E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43"/>
    <w:rsid w:val="00001D17"/>
    <w:rsid w:val="0002046F"/>
    <w:rsid w:val="00065853"/>
    <w:rsid w:val="00070405"/>
    <w:rsid w:val="00071CDE"/>
    <w:rsid w:val="000B26D2"/>
    <w:rsid w:val="000C65A6"/>
    <w:rsid w:val="000D13AE"/>
    <w:rsid w:val="000D73A5"/>
    <w:rsid w:val="00122D80"/>
    <w:rsid w:val="0012564B"/>
    <w:rsid w:val="001439AF"/>
    <w:rsid w:val="0014442E"/>
    <w:rsid w:val="0016625C"/>
    <w:rsid w:val="00167C52"/>
    <w:rsid w:val="00177003"/>
    <w:rsid w:val="001A2B63"/>
    <w:rsid w:val="001E5A7A"/>
    <w:rsid w:val="002210C1"/>
    <w:rsid w:val="00226F2B"/>
    <w:rsid w:val="00245298"/>
    <w:rsid w:val="00245358"/>
    <w:rsid w:val="00251E37"/>
    <w:rsid w:val="00252143"/>
    <w:rsid w:val="00256201"/>
    <w:rsid w:val="002673D1"/>
    <w:rsid w:val="0027161F"/>
    <w:rsid w:val="002735CC"/>
    <w:rsid w:val="002911B5"/>
    <w:rsid w:val="002A7EF7"/>
    <w:rsid w:val="003062F5"/>
    <w:rsid w:val="00334E66"/>
    <w:rsid w:val="00365F62"/>
    <w:rsid w:val="003765DF"/>
    <w:rsid w:val="00390B74"/>
    <w:rsid w:val="00397756"/>
    <w:rsid w:val="003B4841"/>
    <w:rsid w:val="003C0086"/>
    <w:rsid w:val="003D16CA"/>
    <w:rsid w:val="003F7BEE"/>
    <w:rsid w:val="00401C43"/>
    <w:rsid w:val="00416F34"/>
    <w:rsid w:val="0047795F"/>
    <w:rsid w:val="00490E33"/>
    <w:rsid w:val="0049116F"/>
    <w:rsid w:val="00492979"/>
    <w:rsid w:val="004D62A4"/>
    <w:rsid w:val="00510CF0"/>
    <w:rsid w:val="0053490F"/>
    <w:rsid w:val="00556123"/>
    <w:rsid w:val="0056077D"/>
    <w:rsid w:val="0057311E"/>
    <w:rsid w:val="005756EF"/>
    <w:rsid w:val="005A207C"/>
    <w:rsid w:val="005E5DF7"/>
    <w:rsid w:val="00603DA9"/>
    <w:rsid w:val="006100BC"/>
    <w:rsid w:val="00620481"/>
    <w:rsid w:val="0065349E"/>
    <w:rsid w:val="00666FBE"/>
    <w:rsid w:val="00675CFF"/>
    <w:rsid w:val="00681E88"/>
    <w:rsid w:val="00686DAC"/>
    <w:rsid w:val="006B4F7A"/>
    <w:rsid w:val="00726424"/>
    <w:rsid w:val="00733EDA"/>
    <w:rsid w:val="007471B1"/>
    <w:rsid w:val="007518DE"/>
    <w:rsid w:val="00753236"/>
    <w:rsid w:val="007A59B6"/>
    <w:rsid w:val="007C21B5"/>
    <w:rsid w:val="007E1D71"/>
    <w:rsid w:val="007E3E3E"/>
    <w:rsid w:val="00826058"/>
    <w:rsid w:val="00832344"/>
    <w:rsid w:val="00874408"/>
    <w:rsid w:val="0088626C"/>
    <w:rsid w:val="0089561A"/>
    <w:rsid w:val="008B098A"/>
    <w:rsid w:val="00900BC8"/>
    <w:rsid w:val="009D7F01"/>
    <w:rsid w:val="009E1B1B"/>
    <w:rsid w:val="009F3AC4"/>
    <w:rsid w:val="00A576F6"/>
    <w:rsid w:val="00AA7715"/>
    <w:rsid w:val="00AB34A2"/>
    <w:rsid w:val="00AB45A7"/>
    <w:rsid w:val="00B01F9A"/>
    <w:rsid w:val="00B02354"/>
    <w:rsid w:val="00B509E8"/>
    <w:rsid w:val="00B5314A"/>
    <w:rsid w:val="00B55B59"/>
    <w:rsid w:val="00B72FA7"/>
    <w:rsid w:val="00C36466"/>
    <w:rsid w:val="00C9437A"/>
    <w:rsid w:val="00CB7A99"/>
    <w:rsid w:val="00D06D01"/>
    <w:rsid w:val="00D23386"/>
    <w:rsid w:val="00D50BC5"/>
    <w:rsid w:val="00D516CB"/>
    <w:rsid w:val="00D629B2"/>
    <w:rsid w:val="00D82ECE"/>
    <w:rsid w:val="00D91F21"/>
    <w:rsid w:val="00E005C6"/>
    <w:rsid w:val="00E31983"/>
    <w:rsid w:val="00E64769"/>
    <w:rsid w:val="00E76FF5"/>
    <w:rsid w:val="00E9625A"/>
    <w:rsid w:val="00EE5F05"/>
    <w:rsid w:val="00EE6983"/>
    <w:rsid w:val="00EF2C09"/>
    <w:rsid w:val="00F149A9"/>
    <w:rsid w:val="00F240B5"/>
    <w:rsid w:val="00F46E01"/>
    <w:rsid w:val="00F752A2"/>
    <w:rsid w:val="00F75870"/>
    <w:rsid w:val="00F807AC"/>
    <w:rsid w:val="00FA1FA6"/>
    <w:rsid w:val="00FA7D07"/>
    <w:rsid w:val="00FB1355"/>
    <w:rsid w:val="00FB1D4A"/>
    <w:rsid w:val="00FC27A8"/>
    <w:rsid w:val="00F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FE8E"/>
  <w15:docId w15:val="{A008A7AF-41A4-4643-892C-F5548119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1"/>
    <w:pPr>
      <w:ind w:left="720"/>
      <w:contextualSpacing/>
    </w:pPr>
  </w:style>
  <w:style w:type="paragraph" w:styleId="BalloonText">
    <w:name w:val="Balloon Text"/>
    <w:basedOn w:val="Normal"/>
    <w:link w:val="BalloonTextChar"/>
    <w:uiPriority w:val="99"/>
    <w:semiHidden/>
    <w:unhideWhenUsed/>
    <w:rsid w:val="000B2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Geise</dc:creator>
  <cp:lastModifiedBy>Lucian Geise</cp:lastModifiedBy>
  <cp:revision>2</cp:revision>
  <cp:lastPrinted>2022-10-20T22:27:00Z</cp:lastPrinted>
  <dcterms:created xsi:type="dcterms:W3CDTF">2022-12-01T20:29:00Z</dcterms:created>
  <dcterms:modified xsi:type="dcterms:W3CDTF">2022-12-01T20:29:00Z</dcterms:modified>
</cp:coreProperties>
</file>