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B2" w:rsidRPr="00F167B5" w:rsidRDefault="001E0CF7" w:rsidP="009373B2">
      <w:pPr>
        <w:jc w:val="center"/>
        <w:rPr>
          <w:rFonts w:ascii="Rockwell Extra Bold" w:hAnsi="Rockwell Extra Bold"/>
        </w:rPr>
      </w:pPr>
      <w:bookmarkStart w:id="0" w:name="_GoBack"/>
      <w:bookmarkEnd w:id="0"/>
      <w:r>
        <w:rPr>
          <w:rFonts w:ascii="Rockwell Extra Bold" w:hAnsi="Rockwell Extra Bold"/>
          <w:noProof/>
        </w:rPr>
        <w:drawing>
          <wp:inline distT="0" distB="0" distL="0" distR="0">
            <wp:extent cx="3157869" cy="1013584"/>
            <wp:effectExtent l="0" t="0" r="4445" b="0"/>
            <wp:docPr id="2" name="Picture 2" descr="C:\Users\cg20192\Desktop\Templates\Templates and Approved 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20192\Desktop\Templates\Templates and Approved Images\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5327" cy="1015978"/>
                    </a:xfrm>
                    <a:prstGeom prst="rect">
                      <a:avLst/>
                    </a:prstGeom>
                    <a:noFill/>
                    <a:ln>
                      <a:noFill/>
                    </a:ln>
                  </pic:spPr>
                </pic:pic>
              </a:graphicData>
            </a:graphic>
          </wp:inline>
        </w:drawing>
      </w:r>
    </w:p>
    <w:p w:rsidR="001E0CF7" w:rsidRDefault="001E0CF7" w:rsidP="00AB0BB6">
      <w:pPr>
        <w:pStyle w:val="Heading2"/>
        <w:spacing w:before="1" w:line="240" w:lineRule="auto"/>
        <w:ind w:left="0"/>
        <w:rPr>
          <w:rFonts w:ascii="Open Sans" w:hAnsi="Open Sans" w:cs="Open Sans"/>
        </w:rPr>
      </w:pPr>
    </w:p>
    <w:p w:rsidR="00AB0BB6" w:rsidRDefault="00AB0BB6" w:rsidP="00AB0BB6">
      <w:pPr>
        <w:pStyle w:val="Heading2"/>
        <w:spacing w:before="1" w:line="240" w:lineRule="auto"/>
        <w:ind w:left="0"/>
        <w:rPr>
          <w:rFonts w:ascii="Open Sans" w:hAnsi="Open Sans" w:cs="Open Sans"/>
        </w:rPr>
      </w:pPr>
      <w:r>
        <w:rPr>
          <w:rFonts w:ascii="Open Sans" w:hAnsi="Open Sans" w:cs="Open Sans"/>
        </w:rPr>
        <w:t xml:space="preserve">Workforce Services </w:t>
      </w:r>
      <w:r w:rsidR="008E7FDA">
        <w:rPr>
          <w:rFonts w:ascii="Open Sans" w:hAnsi="Open Sans" w:cs="Open Sans"/>
        </w:rPr>
        <w:t>Guidance</w:t>
      </w:r>
      <w:r>
        <w:rPr>
          <w:rFonts w:ascii="Open Sans" w:hAnsi="Open Sans" w:cs="Open Sans"/>
        </w:rPr>
        <w:t xml:space="preserve"> </w:t>
      </w:r>
      <w:r w:rsidRPr="008E1C20">
        <w:rPr>
          <w:rFonts w:ascii="Open Sans" w:hAnsi="Open Sans" w:cs="Open Sans"/>
        </w:rPr>
        <w:t xml:space="preserve">– </w:t>
      </w:r>
      <w:r w:rsidR="007811BC">
        <w:rPr>
          <w:rFonts w:ascii="Open Sans" w:hAnsi="Open Sans" w:cs="Open Sans"/>
        </w:rPr>
        <w:t xml:space="preserve">Local Workforce Development Area </w:t>
      </w:r>
      <w:r w:rsidR="00E565C6">
        <w:rPr>
          <w:rFonts w:ascii="Open Sans" w:hAnsi="Open Sans" w:cs="Open Sans"/>
        </w:rPr>
        <w:t xml:space="preserve">Re-alignment </w:t>
      </w:r>
      <w:r w:rsidR="007811BC">
        <w:rPr>
          <w:rFonts w:ascii="Open Sans" w:hAnsi="Open Sans" w:cs="Open Sans"/>
        </w:rPr>
        <w:t>(</w:t>
      </w:r>
      <w:r w:rsidR="00E565C6" w:rsidRPr="007811BC">
        <w:rPr>
          <w:rFonts w:ascii="Open Sans" w:hAnsi="Open Sans" w:cs="Open Sans"/>
          <w:i/>
        </w:rPr>
        <w:t>Steps and Process</w:t>
      </w:r>
      <w:r w:rsidR="007811BC" w:rsidRPr="007811BC">
        <w:rPr>
          <w:rFonts w:ascii="Open Sans" w:hAnsi="Open Sans" w:cs="Open Sans"/>
          <w:i/>
        </w:rPr>
        <w:t>es for Chief Local Elected Officials and Local Workforce Development Boards)</w:t>
      </w:r>
    </w:p>
    <w:p w:rsidR="00AB0BB6" w:rsidRDefault="00AB0BB6" w:rsidP="00AB0BB6">
      <w:pPr>
        <w:pStyle w:val="Heading2"/>
        <w:spacing w:before="1" w:line="240" w:lineRule="auto"/>
        <w:ind w:left="0"/>
        <w:rPr>
          <w:rFonts w:ascii="Open Sans" w:hAnsi="Open Sans" w:cs="Open Sans"/>
        </w:rPr>
      </w:pPr>
    </w:p>
    <w:p w:rsidR="009373B2" w:rsidRPr="009373B2" w:rsidRDefault="009373B2" w:rsidP="009373B2">
      <w:pPr>
        <w:widowControl w:val="0"/>
        <w:autoSpaceDE w:val="0"/>
        <w:autoSpaceDN w:val="0"/>
        <w:spacing w:before="7" w:after="0" w:line="240" w:lineRule="auto"/>
        <w:jc w:val="both"/>
        <w:rPr>
          <w:rFonts w:ascii="Open Sans" w:eastAsia="Times New Roman" w:hAnsi="Open Sans" w:cs="Open Sans"/>
          <w:b/>
        </w:rPr>
      </w:pPr>
      <w:r w:rsidRPr="009373B2">
        <w:rPr>
          <w:rFonts w:ascii="Open Sans" w:eastAsia="Times New Roman" w:hAnsi="Open Sans" w:cs="Open Sans"/>
          <w:b/>
        </w:rPr>
        <w:t>Effective Date:</w:t>
      </w:r>
      <w:r w:rsidR="009255D5">
        <w:rPr>
          <w:rFonts w:ascii="Open Sans" w:eastAsia="Times New Roman" w:hAnsi="Open Sans" w:cs="Open Sans"/>
          <w:b/>
        </w:rPr>
        <w:t xml:space="preserve"> </w:t>
      </w:r>
      <w:r w:rsidR="007811BC">
        <w:rPr>
          <w:rFonts w:ascii="Open Sans" w:eastAsia="Times New Roman" w:hAnsi="Open Sans" w:cs="Open Sans"/>
        </w:rPr>
        <w:t>May 17</w:t>
      </w:r>
      <w:r w:rsidR="009255D5" w:rsidRPr="009255D5">
        <w:rPr>
          <w:rFonts w:ascii="Open Sans" w:eastAsia="Times New Roman" w:hAnsi="Open Sans" w:cs="Open Sans"/>
        </w:rPr>
        <w:t>, 2018</w:t>
      </w:r>
      <w:r w:rsidRPr="009255D5">
        <w:rPr>
          <w:rFonts w:ascii="Open Sans" w:eastAsia="Times New Roman" w:hAnsi="Open Sans" w:cs="Open Sans"/>
        </w:rPr>
        <w:t xml:space="preserve"> </w:t>
      </w:r>
    </w:p>
    <w:p w:rsidR="008D12F2" w:rsidRDefault="008D12F2" w:rsidP="009373B2">
      <w:pPr>
        <w:widowControl w:val="0"/>
        <w:autoSpaceDE w:val="0"/>
        <w:autoSpaceDN w:val="0"/>
        <w:spacing w:before="7" w:after="0" w:line="240" w:lineRule="auto"/>
        <w:jc w:val="both"/>
        <w:rPr>
          <w:rFonts w:ascii="Open Sans" w:eastAsia="Times New Roman" w:hAnsi="Open Sans" w:cs="Open Sans"/>
          <w:b/>
        </w:rPr>
      </w:pPr>
    </w:p>
    <w:p w:rsidR="009373B2" w:rsidRPr="008D12F2" w:rsidRDefault="009373B2" w:rsidP="009373B2">
      <w:pPr>
        <w:widowControl w:val="0"/>
        <w:autoSpaceDE w:val="0"/>
        <w:autoSpaceDN w:val="0"/>
        <w:spacing w:before="7" w:after="0" w:line="240" w:lineRule="auto"/>
        <w:jc w:val="both"/>
        <w:rPr>
          <w:rFonts w:ascii="Open Sans" w:eastAsia="Times New Roman" w:hAnsi="Open Sans" w:cs="Open Sans"/>
        </w:rPr>
      </w:pPr>
      <w:r w:rsidRPr="009373B2">
        <w:rPr>
          <w:rFonts w:ascii="Open Sans" w:eastAsia="Times New Roman" w:hAnsi="Open Sans" w:cs="Open Sans"/>
          <w:b/>
        </w:rPr>
        <w:t xml:space="preserve">Duration: </w:t>
      </w:r>
      <w:r w:rsidRPr="008D12F2">
        <w:rPr>
          <w:rFonts w:ascii="Open Sans" w:eastAsia="Times New Roman" w:hAnsi="Open Sans" w:cs="Open Sans"/>
        </w:rPr>
        <w:t>Indefinite</w:t>
      </w:r>
    </w:p>
    <w:p w:rsidR="00D00F65" w:rsidRDefault="00D00F65" w:rsidP="00AB0BB6">
      <w:pPr>
        <w:widowControl w:val="0"/>
        <w:autoSpaceDE w:val="0"/>
        <w:autoSpaceDN w:val="0"/>
        <w:spacing w:after="0" w:line="240" w:lineRule="auto"/>
        <w:jc w:val="both"/>
        <w:outlineLvl w:val="1"/>
        <w:rPr>
          <w:b/>
          <w:color w:val="FF0000"/>
        </w:rPr>
      </w:pPr>
    </w:p>
    <w:p w:rsidR="00AB0BB6" w:rsidRPr="00AB0BB6" w:rsidRDefault="009373B2" w:rsidP="00AB0BB6">
      <w:pPr>
        <w:widowControl w:val="0"/>
        <w:autoSpaceDE w:val="0"/>
        <w:autoSpaceDN w:val="0"/>
        <w:spacing w:after="0" w:line="240" w:lineRule="auto"/>
        <w:jc w:val="both"/>
        <w:outlineLvl w:val="1"/>
        <w:rPr>
          <w:rFonts w:ascii="Open Sans" w:eastAsia="Times New Roman" w:hAnsi="Open Sans" w:cs="Open Sans"/>
          <w:b/>
          <w:bCs/>
        </w:rPr>
      </w:pPr>
      <w:r w:rsidRPr="00AB0BB6">
        <w:rPr>
          <w:rFonts w:ascii="Open Sans" w:eastAsia="Times New Roman" w:hAnsi="Open Sans" w:cs="Open Sans"/>
          <w:b/>
          <w:bCs/>
        </w:rPr>
        <w:t>Subject:</w:t>
      </w:r>
    </w:p>
    <w:p w:rsidR="00AB0BB6" w:rsidRDefault="008E7FDA" w:rsidP="00AB0BB6">
      <w:pPr>
        <w:widowControl w:val="0"/>
        <w:autoSpaceDE w:val="0"/>
        <w:autoSpaceDN w:val="0"/>
        <w:spacing w:after="0" w:line="240" w:lineRule="auto"/>
        <w:jc w:val="both"/>
        <w:outlineLvl w:val="1"/>
        <w:rPr>
          <w:rFonts w:ascii="Open Sans" w:eastAsia="Times New Roman" w:hAnsi="Open Sans" w:cs="Open Sans"/>
          <w:bCs/>
        </w:rPr>
      </w:pPr>
      <w:r>
        <w:rPr>
          <w:rFonts w:ascii="Open Sans" w:eastAsia="Times New Roman" w:hAnsi="Open Sans" w:cs="Open Sans"/>
          <w:bCs/>
        </w:rPr>
        <w:t xml:space="preserve">This guidance outlines the </w:t>
      </w:r>
      <w:r w:rsidR="00E565C6">
        <w:rPr>
          <w:rFonts w:ascii="Open Sans" w:eastAsia="Times New Roman" w:hAnsi="Open Sans" w:cs="Open Sans"/>
          <w:bCs/>
        </w:rPr>
        <w:t xml:space="preserve">steps that must be taken for </w:t>
      </w:r>
      <w:r w:rsidR="007811BC">
        <w:rPr>
          <w:rFonts w:ascii="Open Sans" w:eastAsia="Times New Roman" w:hAnsi="Open Sans" w:cs="Open Sans"/>
          <w:bCs/>
        </w:rPr>
        <w:t>the re-alignment of Local Workforce Development A</w:t>
      </w:r>
      <w:r w:rsidR="00E565C6">
        <w:rPr>
          <w:rFonts w:ascii="Open Sans" w:eastAsia="Times New Roman" w:hAnsi="Open Sans" w:cs="Open Sans"/>
          <w:bCs/>
        </w:rPr>
        <w:t>reas</w:t>
      </w:r>
      <w:r w:rsidR="00145DC9">
        <w:rPr>
          <w:rFonts w:ascii="Open Sans" w:eastAsia="Times New Roman" w:hAnsi="Open Sans" w:cs="Open Sans"/>
          <w:bCs/>
        </w:rPr>
        <w:t xml:space="preserve"> (LWDA) </w:t>
      </w:r>
    </w:p>
    <w:p w:rsidR="00145DC9" w:rsidRPr="00AB0BB6" w:rsidRDefault="00145DC9" w:rsidP="00AB0BB6">
      <w:pPr>
        <w:widowControl w:val="0"/>
        <w:autoSpaceDE w:val="0"/>
        <w:autoSpaceDN w:val="0"/>
        <w:spacing w:after="0" w:line="240" w:lineRule="auto"/>
        <w:jc w:val="both"/>
        <w:outlineLvl w:val="1"/>
        <w:rPr>
          <w:rFonts w:ascii="Open Sans" w:eastAsia="Times New Roman" w:hAnsi="Open Sans" w:cs="Open Sans"/>
          <w:b/>
          <w:bCs/>
        </w:rPr>
      </w:pPr>
    </w:p>
    <w:p w:rsidR="009373B2" w:rsidRPr="009373B2" w:rsidRDefault="009373B2" w:rsidP="009373B2">
      <w:pPr>
        <w:widowControl w:val="0"/>
        <w:autoSpaceDE w:val="0"/>
        <w:autoSpaceDN w:val="0"/>
        <w:spacing w:after="0" w:line="240" w:lineRule="auto"/>
        <w:jc w:val="both"/>
        <w:outlineLvl w:val="1"/>
        <w:rPr>
          <w:rFonts w:ascii="Open Sans" w:eastAsia="Times New Roman" w:hAnsi="Open Sans" w:cs="Open Sans"/>
          <w:b/>
          <w:bCs/>
        </w:rPr>
      </w:pPr>
      <w:r w:rsidRPr="009373B2">
        <w:rPr>
          <w:rFonts w:ascii="Open Sans" w:eastAsia="Times New Roman" w:hAnsi="Open Sans" w:cs="Open Sans"/>
          <w:b/>
          <w:bCs/>
        </w:rPr>
        <w:t>Purpose:</w:t>
      </w:r>
    </w:p>
    <w:p w:rsidR="00AB0BB6" w:rsidRDefault="009373B2" w:rsidP="008E7FDA">
      <w:pPr>
        <w:widowControl w:val="0"/>
        <w:autoSpaceDE w:val="0"/>
        <w:autoSpaceDN w:val="0"/>
        <w:spacing w:after="0" w:line="240" w:lineRule="auto"/>
        <w:jc w:val="both"/>
        <w:rPr>
          <w:rFonts w:ascii="Open Sans" w:eastAsia="Times New Roman" w:hAnsi="Open Sans" w:cs="Open Sans"/>
        </w:rPr>
      </w:pPr>
      <w:r w:rsidRPr="009373B2">
        <w:rPr>
          <w:rFonts w:ascii="Open Sans" w:eastAsia="Times New Roman" w:hAnsi="Open Sans" w:cs="Open Sans"/>
        </w:rPr>
        <w:t>The purpos</w:t>
      </w:r>
      <w:r w:rsidR="00556414">
        <w:rPr>
          <w:rFonts w:ascii="Open Sans" w:eastAsia="Times New Roman" w:hAnsi="Open Sans" w:cs="Open Sans"/>
        </w:rPr>
        <w:t xml:space="preserve">e of this </w:t>
      </w:r>
      <w:r w:rsidR="008E7FDA">
        <w:rPr>
          <w:rFonts w:ascii="Open Sans" w:eastAsia="Times New Roman" w:hAnsi="Open Sans" w:cs="Open Sans"/>
        </w:rPr>
        <w:t xml:space="preserve">guidance is to clarify the </w:t>
      </w:r>
      <w:r w:rsidR="007811BC">
        <w:rPr>
          <w:rFonts w:ascii="Open Sans" w:eastAsia="Times New Roman" w:hAnsi="Open Sans" w:cs="Open Sans"/>
        </w:rPr>
        <w:t xml:space="preserve">action steps and procedures that must be executed by Chief Local Elected Officials (CLEO) and Local Workforce Development Boards (LWDB) in order to comply with the re-alignment of LWDAs as a result of the State Workforce Development Board and Governor’s decision to align the LWDA’s with Tennessee’s economic development job base camp regions. </w:t>
      </w:r>
    </w:p>
    <w:p w:rsidR="008E7FDA" w:rsidRPr="004504DA" w:rsidRDefault="008E7FDA" w:rsidP="008E7FDA">
      <w:pPr>
        <w:widowControl w:val="0"/>
        <w:autoSpaceDE w:val="0"/>
        <w:autoSpaceDN w:val="0"/>
        <w:spacing w:after="0" w:line="240" w:lineRule="auto"/>
        <w:jc w:val="both"/>
        <w:rPr>
          <w:rFonts w:ascii="Open Sans" w:eastAsia="Times New Roman" w:hAnsi="Open Sans" w:cs="Open Sans"/>
        </w:rPr>
      </w:pPr>
    </w:p>
    <w:p w:rsidR="00AB0BB6" w:rsidRDefault="00AB0BB6" w:rsidP="00AB0BB6">
      <w:pPr>
        <w:pStyle w:val="Heading2"/>
        <w:spacing w:line="240" w:lineRule="auto"/>
        <w:ind w:left="0"/>
        <w:rPr>
          <w:rFonts w:ascii="Open Sans" w:hAnsi="Open Sans" w:cs="Open Sans"/>
        </w:rPr>
      </w:pPr>
      <w:r>
        <w:rPr>
          <w:rFonts w:ascii="Open Sans" w:hAnsi="Open Sans" w:cs="Open Sans"/>
        </w:rPr>
        <w:t>Scope:</w:t>
      </w:r>
    </w:p>
    <w:p w:rsidR="00AB0BB6" w:rsidRPr="00FC4983" w:rsidRDefault="00AB0BB6" w:rsidP="00FC4983">
      <w:pPr>
        <w:widowControl w:val="0"/>
        <w:autoSpaceDE w:val="0"/>
        <w:autoSpaceDN w:val="0"/>
        <w:spacing w:after="0" w:line="240" w:lineRule="auto"/>
        <w:contextualSpacing/>
        <w:jc w:val="both"/>
        <w:rPr>
          <w:rFonts w:ascii="Open Sans" w:eastAsia="Times New Roman" w:hAnsi="Open Sans" w:cs="Open Sans"/>
        </w:rPr>
      </w:pPr>
      <w:r w:rsidRPr="00AB0BB6">
        <w:rPr>
          <w:rFonts w:ascii="Open Sans" w:eastAsia="Times New Roman" w:hAnsi="Open Sans" w:cs="Open Sans"/>
        </w:rPr>
        <w:t>Adult Education (AE), American Job Center (AJC), American Job Center Access Point (AJC Access Point), Chief Local Elected Official (CLEO), Division of Workforce Services (WFS), Local Workforce Development Areas (LWDAs), Local Workforce Development Boards (LWDBs), Office of the Governor, Office of Registered Apprenticeship (RA), One-Stop Service Delivery System Operator (Operator), Regional Council (RC), Rehabilitation Services (RS), State Workforce Development Board (SWDB), Tennessee Department of Education (TDOE), Tennessee Department of Economic and Community Development (TDECD), Tennessee Department of Human Services (TDHS), Tennessee Department of Labor and Workforce Development (TDLWD), Tennessee Eligible Training Providers (TETPs), Workforce Innovation and Opportunity Act (WIOA), Workforce System Partners (Partners), Workforce System Subrecipients (Subrecipients)</w:t>
      </w:r>
    </w:p>
    <w:p w:rsidR="008E7FDA" w:rsidRDefault="008E7FDA" w:rsidP="00AB0BB6">
      <w:pPr>
        <w:pStyle w:val="BodyText"/>
        <w:spacing w:before="7"/>
        <w:jc w:val="both"/>
        <w:rPr>
          <w:rFonts w:ascii="Open Sans" w:hAnsi="Open Sans" w:cs="Open Sans"/>
        </w:rPr>
      </w:pPr>
    </w:p>
    <w:p w:rsidR="008D12F2" w:rsidRDefault="008D12F2" w:rsidP="005C563D">
      <w:pPr>
        <w:pStyle w:val="ListParagraph"/>
        <w:ind w:left="0"/>
        <w:jc w:val="both"/>
        <w:rPr>
          <w:rFonts w:ascii="Open Sans" w:eastAsia="Times New Roman" w:hAnsi="Open Sans" w:cs="Open Sans"/>
        </w:rPr>
      </w:pPr>
    </w:p>
    <w:p w:rsidR="007811BC" w:rsidRDefault="007811BC" w:rsidP="005C563D">
      <w:pPr>
        <w:pStyle w:val="ListParagraph"/>
        <w:ind w:left="0"/>
        <w:jc w:val="both"/>
        <w:rPr>
          <w:rFonts w:ascii="Open Sans" w:eastAsia="Times New Roman" w:hAnsi="Open Sans" w:cs="Open Sans"/>
          <w:b/>
        </w:rPr>
      </w:pPr>
    </w:p>
    <w:p w:rsidR="003E2EB4" w:rsidRPr="007811BC" w:rsidRDefault="007811BC" w:rsidP="005C563D">
      <w:pPr>
        <w:pStyle w:val="ListParagraph"/>
        <w:ind w:left="0"/>
        <w:jc w:val="both"/>
        <w:rPr>
          <w:rFonts w:ascii="Open Sans" w:eastAsia="Times New Roman" w:hAnsi="Open Sans" w:cs="Open Sans"/>
        </w:rPr>
      </w:pPr>
      <w:r>
        <w:rPr>
          <w:rFonts w:ascii="Open Sans" w:eastAsia="Times New Roman" w:hAnsi="Open Sans" w:cs="Open Sans"/>
          <w:b/>
        </w:rPr>
        <w:lastRenderedPageBreak/>
        <w:t xml:space="preserve">Action Steps: </w:t>
      </w:r>
      <w:r>
        <w:rPr>
          <w:rFonts w:ascii="Open Sans" w:eastAsia="Times New Roman" w:hAnsi="Open Sans" w:cs="Open Sans"/>
        </w:rPr>
        <w:t xml:space="preserve">The action steps outlined below must be completed by the corresponding date for each action item. </w:t>
      </w:r>
    </w:p>
    <w:p w:rsidR="009373B2" w:rsidRDefault="00E565C6" w:rsidP="005C563D">
      <w:pPr>
        <w:pStyle w:val="ListParagraph"/>
        <w:widowControl w:val="0"/>
        <w:numPr>
          <w:ilvl w:val="0"/>
          <w:numId w:val="1"/>
        </w:numPr>
        <w:autoSpaceDE w:val="0"/>
        <w:autoSpaceDN w:val="0"/>
        <w:spacing w:after="0" w:line="240" w:lineRule="auto"/>
        <w:jc w:val="both"/>
        <w:rPr>
          <w:rFonts w:ascii="Open Sans" w:eastAsia="Times New Roman" w:hAnsi="Open Sans" w:cs="Open Sans"/>
          <w:b/>
          <w:bCs/>
        </w:rPr>
      </w:pPr>
      <w:r>
        <w:rPr>
          <w:rFonts w:ascii="Open Sans" w:eastAsia="Times New Roman" w:hAnsi="Open Sans" w:cs="Open Sans"/>
          <w:b/>
          <w:bCs/>
        </w:rPr>
        <w:t>All county Mayors</w:t>
      </w:r>
      <w:r w:rsidR="00145DC9">
        <w:rPr>
          <w:rFonts w:ascii="Open Sans" w:eastAsia="Times New Roman" w:hAnsi="Open Sans" w:cs="Open Sans"/>
          <w:b/>
          <w:bCs/>
        </w:rPr>
        <w:t xml:space="preserve"> must convene based on new local workforce area realignment</w:t>
      </w:r>
      <w:r>
        <w:rPr>
          <w:rFonts w:ascii="Open Sans" w:eastAsia="Times New Roman" w:hAnsi="Open Sans" w:cs="Open Sans"/>
          <w:b/>
          <w:bCs/>
        </w:rPr>
        <w:t xml:space="preserve"> and:</w:t>
      </w:r>
    </w:p>
    <w:p w:rsidR="00E565C6" w:rsidRDefault="00E565C6" w:rsidP="00E565C6">
      <w:pPr>
        <w:pStyle w:val="ListParagraph"/>
        <w:widowControl w:val="0"/>
        <w:numPr>
          <w:ilvl w:val="1"/>
          <w:numId w:val="1"/>
        </w:numPr>
        <w:autoSpaceDE w:val="0"/>
        <w:autoSpaceDN w:val="0"/>
        <w:spacing w:after="0" w:line="240" w:lineRule="auto"/>
        <w:jc w:val="both"/>
        <w:rPr>
          <w:rFonts w:ascii="Open Sans" w:eastAsia="Times New Roman" w:hAnsi="Open Sans" w:cs="Open Sans"/>
          <w:b/>
          <w:bCs/>
        </w:rPr>
      </w:pPr>
      <w:r>
        <w:rPr>
          <w:rFonts w:ascii="Open Sans" w:eastAsia="Times New Roman" w:hAnsi="Open Sans" w:cs="Open Sans"/>
          <w:b/>
          <w:bCs/>
        </w:rPr>
        <w:t>Select a CLEO</w:t>
      </w:r>
    </w:p>
    <w:p w:rsidR="00E565C6" w:rsidRDefault="00E565C6" w:rsidP="00E565C6">
      <w:pPr>
        <w:pStyle w:val="ListParagraph"/>
        <w:widowControl w:val="0"/>
        <w:numPr>
          <w:ilvl w:val="1"/>
          <w:numId w:val="1"/>
        </w:numPr>
        <w:autoSpaceDE w:val="0"/>
        <w:autoSpaceDN w:val="0"/>
        <w:spacing w:after="0" w:line="240" w:lineRule="auto"/>
        <w:jc w:val="both"/>
        <w:rPr>
          <w:rFonts w:ascii="Open Sans" w:eastAsia="Times New Roman" w:hAnsi="Open Sans" w:cs="Open Sans"/>
          <w:b/>
          <w:bCs/>
        </w:rPr>
      </w:pPr>
      <w:r>
        <w:rPr>
          <w:rFonts w:ascii="Open Sans" w:eastAsia="Times New Roman" w:hAnsi="Open Sans" w:cs="Open Sans"/>
          <w:b/>
          <w:bCs/>
        </w:rPr>
        <w:t>Develop an interlocal agreement</w:t>
      </w:r>
      <w:r w:rsidR="00E1048B">
        <w:rPr>
          <w:rFonts w:ascii="Open Sans" w:eastAsia="Times New Roman" w:hAnsi="Open Sans" w:cs="Open Sans"/>
          <w:b/>
          <w:bCs/>
        </w:rPr>
        <w:t xml:space="preserve"> and the LWDB Partnership agreement</w:t>
      </w:r>
    </w:p>
    <w:p w:rsidR="00E1048B" w:rsidRDefault="00E1048B" w:rsidP="00E1048B">
      <w:pPr>
        <w:pStyle w:val="ListParagraph"/>
        <w:widowControl w:val="0"/>
        <w:autoSpaceDE w:val="0"/>
        <w:autoSpaceDN w:val="0"/>
        <w:spacing w:after="0" w:line="240" w:lineRule="auto"/>
        <w:ind w:left="1440"/>
        <w:jc w:val="both"/>
        <w:rPr>
          <w:rFonts w:ascii="Open Sans" w:eastAsia="Times New Roman" w:hAnsi="Open Sans" w:cs="Open Sans"/>
          <w:b/>
          <w:bCs/>
        </w:rPr>
      </w:pPr>
    </w:p>
    <w:p w:rsidR="005F2EEA" w:rsidRPr="00E1048B" w:rsidRDefault="001F7F2C" w:rsidP="005C563D">
      <w:pPr>
        <w:pStyle w:val="ListParagraph"/>
        <w:widowControl w:val="0"/>
        <w:autoSpaceDE w:val="0"/>
        <w:autoSpaceDN w:val="0"/>
        <w:spacing w:after="0" w:line="240" w:lineRule="auto"/>
        <w:jc w:val="both"/>
        <w:rPr>
          <w:sz w:val="24"/>
          <w:szCs w:val="24"/>
        </w:rPr>
      </w:pPr>
      <w:r w:rsidRPr="00E1048B">
        <w:rPr>
          <w:sz w:val="24"/>
          <w:szCs w:val="24"/>
        </w:rPr>
        <w:t>Designation of a Chief Local Elected Official: The LEOs must select a CLEO who will represent the LEOs in the LWDA. The Interlocal Agreement must include the following information: 1. Selection/appointment process and term of the CLEO, which must include steps to ensure that their duties would not create, or be perceived to create, a conflict of interest between the consortium of LEOs, LWDB, Fiscal Agent, or other administrative entities; 2. The designation of the CLEO to serve as the signatory for the LEOs; 3. Outline decisions that may be made by the CLEO on behalf of the LEOs; and 4. Name, title, and contact information of the appointed CLEO.</w:t>
      </w:r>
    </w:p>
    <w:p w:rsidR="007811BC" w:rsidRPr="00E1048B" w:rsidRDefault="007811BC" w:rsidP="005C563D">
      <w:pPr>
        <w:pStyle w:val="ListParagraph"/>
        <w:widowControl w:val="0"/>
        <w:autoSpaceDE w:val="0"/>
        <w:autoSpaceDN w:val="0"/>
        <w:spacing w:after="0" w:line="240" w:lineRule="auto"/>
        <w:jc w:val="both"/>
        <w:rPr>
          <w:sz w:val="24"/>
          <w:szCs w:val="24"/>
        </w:rPr>
      </w:pPr>
    </w:p>
    <w:p w:rsidR="007811BC" w:rsidRPr="00E1048B" w:rsidRDefault="007811BC" w:rsidP="005C563D">
      <w:pPr>
        <w:pStyle w:val="ListParagraph"/>
        <w:widowControl w:val="0"/>
        <w:autoSpaceDE w:val="0"/>
        <w:autoSpaceDN w:val="0"/>
        <w:spacing w:after="0" w:line="240" w:lineRule="auto"/>
        <w:jc w:val="both"/>
        <w:rPr>
          <w:sz w:val="24"/>
          <w:szCs w:val="24"/>
        </w:rPr>
      </w:pPr>
      <w:r w:rsidRPr="00E1048B">
        <w:rPr>
          <w:sz w:val="24"/>
          <w:szCs w:val="24"/>
        </w:rPr>
        <w:t xml:space="preserve">Please review the guidance titled </w:t>
      </w:r>
      <w:r w:rsidRPr="00E1048B">
        <w:rPr>
          <w:i/>
          <w:sz w:val="24"/>
          <w:szCs w:val="24"/>
        </w:rPr>
        <w:t>CLEO Roles and Responsibilities</w:t>
      </w:r>
      <w:r w:rsidRPr="00E1048B">
        <w:rPr>
          <w:sz w:val="24"/>
          <w:szCs w:val="24"/>
        </w:rPr>
        <w:t xml:space="preserve"> for an in-depth guide on the selection and role of the CLEO.  </w:t>
      </w:r>
    </w:p>
    <w:p w:rsidR="001F7F2C" w:rsidRDefault="009C1472" w:rsidP="005C563D">
      <w:pPr>
        <w:pStyle w:val="ListParagraph"/>
        <w:widowControl w:val="0"/>
        <w:autoSpaceDE w:val="0"/>
        <w:autoSpaceDN w:val="0"/>
        <w:spacing w:after="0" w:line="240" w:lineRule="auto"/>
        <w:jc w:val="both"/>
        <w:rPr>
          <w:rStyle w:val="Hyperlink"/>
          <w:rFonts w:ascii="Open Sans" w:eastAsia="Times New Roman" w:hAnsi="Open Sans" w:cs="Open Sans"/>
          <w:b/>
          <w:bCs/>
        </w:rPr>
      </w:pPr>
      <w:hyperlink r:id="rId9" w:history="1">
        <w:r w:rsidR="001F7F2C" w:rsidRPr="007C2F72">
          <w:rPr>
            <w:rStyle w:val="Hyperlink"/>
            <w:rFonts w:ascii="Open Sans" w:eastAsia="Times New Roman" w:hAnsi="Open Sans" w:cs="Open Sans"/>
            <w:b/>
            <w:bCs/>
          </w:rPr>
          <w:t>https://www.tn.gov/content/dam/tn/workforce/documents/ProgramManagement/WFS_Memo_-_CLEO_Roles_and_Responsibilites_.pdf</w:t>
        </w:r>
      </w:hyperlink>
    </w:p>
    <w:p w:rsidR="00E1048B" w:rsidRDefault="00E1048B" w:rsidP="005C563D">
      <w:pPr>
        <w:pStyle w:val="ListParagraph"/>
        <w:widowControl w:val="0"/>
        <w:autoSpaceDE w:val="0"/>
        <w:autoSpaceDN w:val="0"/>
        <w:spacing w:after="0" w:line="240" w:lineRule="auto"/>
        <w:jc w:val="both"/>
        <w:rPr>
          <w:rStyle w:val="Hyperlink"/>
          <w:rFonts w:ascii="Open Sans" w:eastAsia="Times New Roman" w:hAnsi="Open Sans" w:cs="Open Sans"/>
          <w:b/>
          <w:bCs/>
        </w:rPr>
      </w:pPr>
    </w:p>
    <w:p w:rsidR="00E1048B" w:rsidRPr="00E1048B" w:rsidRDefault="00E1048B" w:rsidP="005C563D">
      <w:pPr>
        <w:pStyle w:val="ListParagraph"/>
        <w:widowControl w:val="0"/>
        <w:autoSpaceDE w:val="0"/>
        <w:autoSpaceDN w:val="0"/>
        <w:spacing w:after="0" w:line="240" w:lineRule="auto"/>
        <w:jc w:val="both"/>
        <w:rPr>
          <w:rFonts w:eastAsia="Times New Roman" w:cs="Open Sans"/>
          <w:bCs/>
          <w:color w:val="000000" w:themeColor="text1"/>
          <w:sz w:val="24"/>
          <w:szCs w:val="24"/>
        </w:rPr>
      </w:pPr>
      <w:r w:rsidRPr="00E1048B">
        <w:rPr>
          <w:rFonts w:eastAsia="Times New Roman" w:cs="Open Sans"/>
          <w:bCs/>
          <w:color w:val="000000" w:themeColor="text1"/>
          <w:sz w:val="24"/>
          <w:szCs w:val="24"/>
        </w:rPr>
        <w:t>Please review the guidance</w:t>
      </w:r>
      <w:r>
        <w:rPr>
          <w:rFonts w:eastAsia="Times New Roman" w:cs="Open Sans"/>
          <w:bCs/>
          <w:color w:val="000000" w:themeColor="text1"/>
          <w:sz w:val="24"/>
          <w:szCs w:val="24"/>
        </w:rPr>
        <w:t xml:space="preserve"> titled </w:t>
      </w:r>
      <w:r>
        <w:rPr>
          <w:rFonts w:eastAsia="Times New Roman" w:cs="Open Sans"/>
          <w:bCs/>
          <w:i/>
          <w:color w:val="000000" w:themeColor="text1"/>
          <w:sz w:val="24"/>
          <w:szCs w:val="24"/>
        </w:rPr>
        <w:t xml:space="preserve">Interlocal and Partnership Agreements. </w:t>
      </w:r>
      <w:r>
        <w:rPr>
          <w:rFonts w:eastAsia="Times New Roman" w:cs="Open Sans"/>
          <w:bCs/>
          <w:color w:val="000000" w:themeColor="text1"/>
          <w:sz w:val="24"/>
          <w:szCs w:val="24"/>
        </w:rPr>
        <w:t>Please be sure to develop two agreements. The Interlocal is an agreement between the county mayors/county executives within the LWDA on how they will carry out their roles as elected officials, grant recipients, and local board governance. The partnership agreement is between the CLEO, County Mayors/Executives, and the LWDB to determine how the parties will communicate, plan, conduct oversight, etc., of the LWDA.</w:t>
      </w:r>
    </w:p>
    <w:p w:rsidR="00E1048B" w:rsidRDefault="009C1472" w:rsidP="005C563D">
      <w:pPr>
        <w:pStyle w:val="ListParagraph"/>
        <w:widowControl w:val="0"/>
        <w:autoSpaceDE w:val="0"/>
        <w:autoSpaceDN w:val="0"/>
        <w:spacing w:after="0" w:line="240" w:lineRule="auto"/>
        <w:jc w:val="both"/>
        <w:rPr>
          <w:rFonts w:eastAsia="Times New Roman" w:cs="Open Sans"/>
          <w:bCs/>
          <w:color w:val="000000" w:themeColor="text1"/>
          <w:sz w:val="24"/>
          <w:szCs w:val="24"/>
        </w:rPr>
      </w:pPr>
      <w:hyperlink r:id="rId10" w:history="1">
        <w:r w:rsidR="00E1048B" w:rsidRPr="00997BC3">
          <w:rPr>
            <w:rStyle w:val="Hyperlink"/>
            <w:rFonts w:eastAsia="Times New Roman" w:cs="Open Sans"/>
            <w:bCs/>
            <w:sz w:val="24"/>
            <w:szCs w:val="24"/>
          </w:rPr>
          <w:t>https://www.tn.gov/content/dam/tn/workforce/documents/ProgramManagement/WFS_Memo_-_Interlocal_Agreements.pdf</w:t>
        </w:r>
      </w:hyperlink>
    </w:p>
    <w:p w:rsidR="00E1048B" w:rsidRDefault="00E1048B" w:rsidP="005C563D">
      <w:pPr>
        <w:pStyle w:val="ListParagraph"/>
        <w:widowControl w:val="0"/>
        <w:autoSpaceDE w:val="0"/>
        <w:autoSpaceDN w:val="0"/>
        <w:spacing w:after="0" w:line="240" w:lineRule="auto"/>
        <w:jc w:val="both"/>
        <w:rPr>
          <w:rFonts w:eastAsia="Times New Roman" w:cs="Open Sans"/>
          <w:bCs/>
          <w:color w:val="000000" w:themeColor="text1"/>
          <w:sz w:val="24"/>
          <w:szCs w:val="24"/>
        </w:rPr>
      </w:pPr>
    </w:p>
    <w:p w:rsidR="009D792F" w:rsidRPr="00E1048B" w:rsidRDefault="009D792F" w:rsidP="005C563D">
      <w:pPr>
        <w:pStyle w:val="ListParagraph"/>
        <w:widowControl w:val="0"/>
        <w:autoSpaceDE w:val="0"/>
        <w:autoSpaceDN w:val="0"/>
        <w:spacing w:after="0" w:line="240" w:lineRule="auto"/>
        <w:jc w:val="both"/>
        <w:rPr>
          <w:rFonts w:eastAsia="Times New Roman" w:cs="Open Sans"/>
          <w:bCs/>
          <w:color w:val="000000" w:themeColor="text1"/>
          <w:sz w:val="24"/>
          <w:szCs w:val="24"/>
        </w:rPr>
      </w:pPr>
      <w:r w:rsidRPr="009D792F">
        <w:rPr>
          <w:rFonts w:eastAsia="Times New Roman" w:cs="Open Sans"/>
          <w:b/>
          <w:bCs/>
          <w:color w:val="000000" w:themeColor="text1"/>
          <w:sz w:val="24"/>
          <w:szCs w:val="24"/>
          <w:u w:val="single"/>
        </w:rPr>
        <w:t>Due Date</w:t>
      </w:r>
      <w:r w:rsidRPr="009D792F">
        <w:rPr>
          <w:rFonts w:eastAsia="Times New Roman" w:cs="Open Sans"/>
          <w:bCs/>
          <w:i/>
          <w:color w:val="000000" w:themeColor="text1"/>
          <w:sz w:val="24"/>
          <w:szCs w:val="24"/>
        </w:rPr>
        <w:t xml:space="preserve">- </w:t>
      </w:r>
      <w:r>
        <w:rPr>
          <w:rFonts w:eastAsia="Times New Roman" w:cs="Open Sans"/>
          <w:bCs/>
          <w:i/>
          <w:color w:val="000000" w:themeColor="text1"/>
          <w:sz w:val="24"/>
          <w:szCs w:val="24"/>
        </w:rPr>
        <w:t xml:space="preserve">  </w:t>
      </w:r>
      <w:r w:rsidRPr="009D792F">
        <w:rPr>
          <w:rFonts w:eastAsia="Times New Roman" w:cs="Open Sans"/>
          <w:bCs/>
          <w:i/>
          <w:color w:val="000000" w:themeColor="text1"/>
          <w:sz w:val="24"/>
          <w:szCs w:val="24"/>
        </w:rPr>
        <w:t>July 1, 2018.</w:t>
      </w:r>
    </w:p>
    <w:p w:rsidR="001F7F2C" w:rsidRPr="005F2EEA" w:rsidRDefault="001F7F2C" w:rsidP="005C563D">
      <w:pPr>
        <w:pStyle w:val="ListParagraph"/>
        <w:widowControl w:val="0"/>
        <w:autoSpaceDE w:val="0"/>
        <w:autoSpaceDN w:val="0"/>
        <w:spacing w:after="0" w:line="240" w:lineRule="auto"/>
        <w:jc w:val="both"/>
        <w:rPr>
          <w:rFonts w:ascii="Open Sans" w:eastAsia="Times New Roman" w:hAnsi="Open Sans" w:cs="Open Sans"/>
          <w:b/>
          <w:bCs/>
        </w:rPr>
      </w:pPr>
    </w:p>
    <w:p w:rsidR="00F07446" w:rsidRDefault="00E565C6" w:rsidP="005C563D">
      <w:pPr>
        <w:pStyle w:val="ListParagraph"/>
        <w:widowControl w:val="0"/>
        <w:numPr>
          <w:ilvl w:val="0"/>
          <w:numId w:val="1"/>
        </w:numPr>
        <w:autoSpaceDE w:val="0"/>
        <w:autoSpaceDN w:val="0"/>
        <w:spacing w:after="0" w:line="240" w:lineRule="auto"/>
        <w:jc w:val="both"/>
        <w:rPr>
          <w:rFonts w:ascii="Open Sans" w:eastAsia="Times New Roman" w:hAnsi="Open Sans" w:cs="Open Sans"/>
          <w:b/>
          <w:bCs/>
        </w:rPr>
      </w:pPr>
      <w:r>
        <w:rPr>
          <w:rFonts w:ascii="Open Sans" w:eastAsia="Times New Roman" w:hAnsi="Open Sans" w:cs="Open Sans"/>
          <w:b/>
          <w:bCs/>
        </w:rPr>
        <w:t>CLEO must designate a fiscal agent</w:t>
      </w:r>
      <w:r w:rsidR="00E1048B">
        <w:rPr>
          <w:rFonts w:ascii="Open Sans" w:eastAsia="Times New Roman" w:hAnsi="Open Sans" w:cs="Open Sans"/>
          <w:b/>
          <w:bCs/>
        </w:rPr>
        <w:t>:</w:t>
      </w:r>
    </w:p>
    <w:p w:rsidR="00E1048B" w:rsidRDefault="00E1048B" w:rsidP="00E1048B">
      <w:pPr>
        <w:pStyle w:val="ListParagraph"/>
        <w:widowControl w:val="0"/>
        <w:autoSpaceDE w:val="0"/>
        <w:autoSpaceDN w:val="0"/>
        <w:spacing w:after="0" w:line="240" w:lineRule="auto"/>
        <w:jc w:val="both"/>
        <w:rPr>
          <w:rFonts w:ascii="Open Sans" w:eastAsia="Times New Roman" w:hAnsi="Open Sans" w:cs="Open Sans"/>
          <w:b/>
          <w:bCs/>
        </w:rPr>
      </w:pPr>
    </w:p>
    <w:p w:rsidR="00E1048B" w:rsidRDefault="00E1048B" w:rsidP="00E1048B">
      <w:pPr>
        <w:pStyle w:val="ListParagraph"/>
      </w:pPr>
      <w:r>
        <w:t>Appointment of the Fiscal Agent (</w:t>
      </w:r>
      <w:r w:rsidRPr="00621F3F">
        <w:rPr>
          <w:i/>
        </w:rPr>
        <w:t>20 CFR 679.420):</w:t>
      </w:r>
      <w:r>
        <w:t xml:space="preserve"> The CLEO may serve as the Fiscal Agent, or may designate a Fiscal Agent. If the CLEO designates a Fiscal Agent, the CLEO must ensure this agent has clearly defined roles and responsibilities. The Fiscal Agent acts only on the direction and authorization of the CLEO and the LWDB. In general, the fiscal agent is responsible for the following functions: </w:t>
      </w:r>
    </w:p>
    <w:p w:rsidR="00E1048B" w:rsidRDefault="00E1048B" w:rsidP="00E1048B">
      <w:pPr>
        <w:pStyle w:val="ListParagraph"/>
      </w:pPr>
    </w:p>
    <w:p w:rsidR="00621F3F" w:rsidRDefault="00621F3F" w:rsidP="009D792F">
      <w:pPr>
        <w:pStyle w:val="ListParagraph"/>
      </w:pPr>
    </w:p>
    <w:p w:rsidR="00621F3F" w:rsidRDefault="00621F3F" w:rsidP="009D792F">
      <w:pPr>
        <w:pStyle w:val="ListParagraph"/>
      </w:pPr>
    </w:p>
    <w:p w:rsidR="00621F3F" w:rsidRDefault="00621F3F" w:rsidP="009D792F">
      <w:pPr>
        <w:pStyle w:val="ListParagraph"/>
      </w:pPr>
    </w:p>
    <w:p w:rsidR="009D792F" w:rsidRDefault="009D792F" w:rsidP="009D792F">
      <w:pPr>
        <w:pStyle w:val="ListParagraph"/>
      </w:pPr>
      <w:r>
        <w:t xml:space="preserve">• Receipt of funds </w:t>
      </w:r>
    </w:p>
    <w:p w:rsidR="009D792F" w:rsidRDefault="009D792F" w:rsidP="009D792F">
      <w:pPr>
        <w:pStyle w:val="ListParagraph"/>
      </w:pPr>
      <w:r>
        <w:t xml:space="preserve">• Ensure sustained fiscal integrity and accountability for expenditures of funds in accordance with Office of Management and Budget circulars, WIOA, and the corresponding Federal Regulations and state policies; </w:t>
      </w:r>
    </w:p>
    <w:p w:rsidR="009D792F" w:rsidRDefault="009D792F" w:rsidP="009D792F">
      <w:pPr>
        <w:pStyle w:val="ListParagraph"/>
      </w:pPr>
      <w:r>
        <w:t xml:space="preserve">• Respond to audit financial findings; </w:t>
      </w:r>
    </w:p>
    <w:p w:rsidR="009D792F" w:rsidRDefault="009D792F" w:rsidP="009D792F">
      <w:pPr>
        <w:pStyle w:val="ListParagraph"/>
      </w:pPr>
      <w:r>
        <w:t xml:space="preserve">• Maintain proper accounting records and adequate documentation; </w:t>
      </w:r>
    </w:p>
    <w:p w:rsidR="009D792F" w:rsidRDefault="009D792F" w:rsidP="009D792F">
      <w:pPr>
        <w:pStyle w:val="ListParagraph"/>
      </w:pPr>
      <w:r>
        <w:t xml:space="preserve">• Prepare financial reports; and </w:t>
      </w:r>
    </w:p>
    <w:p w:rsidR="009D792F" w:rsidRDefault="009D792F" w:rsidP="009D792F">
      <w:pPr>
        <w:pStyle w:val="ListParagraph"/>
        <w:rPr>
          <w:rFonts w:ascii="Open Sans" w:eastAsia="Times New Roman" w:hAnsi="Open Sans" w:cs="Open Sans"/>
          <w:b/>
        </w:rPr>
      </w:pPr>
      <w:r>
        <w:t>• Provide technical assistance to subrecipients regarding fiscal issues.</w:t>
      </w:r>
      <w:r w:rsidRPr="003E2EB4">
        <w:rPr>
          <w:rFonts w:ascii="Open Sans" w:eastAsia="Times New Roman" w:hAnsi="Open Sans" w:cs="Open Sans"/>
          <w:b/>
        </w:rPr>
        <w:t xml:space="preserve"> </w:t>
      </w:r>
    </w:p>
    <w:p w:rsidR="00E1048B" w:rsidRDefault="00E1048B" w:rsidP="00E1048B">
      <w:pPr>
        <w:pStyle w:val="ListParagraph"/>
        <w:widowControl w:val="0"/>
        <w:autoSpaceDE w:val="0"/>
        <w:autoSpaceDN w:val="0"/>
        <w:spacing w:after="0" w:line="240" w:lineRule="auto"/>
        <w:jc w:val="both"/>
        <w:rPr>
          <w:rFonts w:ascii="Open Sans" w:eastAsia="Times New Roman" w:hAnsi="Open Sans" w:cs="Open Sans"/>
          <w:b/>
          <w:bCs/>
        </w:rPr>
      </w:pPr>
    </w:p>
    <w:p w:rsidR="009D792F" w:rsidRDefault="009D792F" w:rsidP="00E1048B">
      <w:pPr>
        <w:pStyle w:val="ListParagraph"/>
        <w:widowControl w:val="0"/>
        <w:autoSpaceDE w:val="0"/>
        <w:autoSpaceDN w:val="0"/>
        <w:spacing w:after="0" w:line="240" w:lineRule="auto"/>
        <w:jc w:val="both"/>
        <w:rPr>
          <w:rFonts w:eastAsia="Times New Roman" w:cs="Open Sans"/>
          <w:bCs/>
        </w:rPr>
      </w:pPr>
      <w:r>
        <w:rPr>
          <w:rFonts w:eastAsia="Times New Roman" w:cs="Open Sans"/>
          <w:bCs/>
        </w:rPr>
        <w:t xml:space="preserve">The county governments within each LWDA are financially responsible for the use of WIOA funds within that LWDA (this is covered in the interlocal agreement). This means the county governments are responsible for any misuse of WIOA grant funds allocated to the LWDA. Designating an entity as a fiscal agent does not relieve the counties of this fiduciary responsibility. </w:t>
      </w:r>
      <w:r w:rsidR="00F95E25">
        <w:rPr>
          <w:rFonts w:eastAsia="Times New Roman" w:cs="Open Sans"/>
          <w:bCs/>
        </w:rPr>
        <w:t xml:space="preserve"> The fiscal agent may be any public or private for-profit or non-profit entity that is operational or eligible to operate within the LWDA.  Furthermore, the fiscal agent may not also serve as the One-Stop Operator or a provider of career services in the LWDA.</w:t>
      </w:r>
    </w:p>
    <w:p w:rsidR="00621F3F" w:rsidRDefault="00621F3F" w:rsidP="00E1048B">
      <w:pPr>
        <w:pStyle w:val="ListParagraph"/>
        <w:widowControl w:val="0"/>
        <w:autoSpaceDE w:val="0"/>
        <w:autoSpaceDN w:val="0"/>
        <w:spacing w:after="0" w:line="240" w:lineRule="auto"/>
        <w:jc w:val="both"/>
        <w:rPr>
          <w:rFonts w:eastAsia="Times New Roman" w:cs="Open Sans"/>
          <w:bCs/>
        </w:rPr>
      </w:pPr>
    </w:p>
    <w:p w:rsidR="00621F3F" w:rsidRDefault="00621F3F" w:rsidP="00E1048B">
      <w:pPr>
        <w:pStyle w:val="ListParagraph"/>
        <w:widowControl w:val="0"/>
        <w:autoSpaceDE w:val="0"/>
        <w:autoSpaceDN w:val="0"/>
        <w:spacing w:after="0" w:line="240" w:lineRule="auto"/>
        <w:jc w:val="both"/>
        <w:rPr>
          <w:rFonts w:eastAsia="Times New Roman" w:cs="Open Sans"/>
          <w:bCs/>
        </w:rPr>
      </w:pPr>
      <w:r>
        <w:rPr>
          <w:rFonts w:eastAsia="Times New Roman" w:cs="Open Sans"/>
          <w:bCs/>
        </w:rPr>
        <w:t xml:space="preserve">The CLEO and/or all County Mayor/Executives and the designated fiscal agent must enter into an agreement outlining the roles, responsibilities, and authorities of the fiscal agent. The relationship between the CLEO and Fiscal Agent is a principle/agent relationship.  The Fiscal Agent shall cooperate with and assist the LWDB and CLEO with their objectives of the LWDA in conformity with WIOA regulations and applicable federal and state regulations. </w:t>
      </w:r>
    </w:p>
    <w:p w:rsidR="00621F3F" w:rsidRDefault="00621F3F" w:rsidP="00E1048B">
      <w:pPr>
        <w:pStyle w:val="ListParagraph"/>
        <w:widowControl w:val="0"/>
        <w:autoSpaceDE w:val="0"/>
        <w:autoSpaceDN w:val="0"/>
        <w:spacing w:after="0" w:line="240" w:lineRule="auto"/>
        <w:jc w:val="both"/>
        <w:rPr>
          <w:rFonts w:eastAsia="Times New Roman" w:cs="Open Sans"/>
          <w:bCs/>
        </w:rPr>
      </w:pPr>
    </w:p>
    <w:p w:rsidR="00621F3F" w:rsidRPr="00621F3F" w:rsidRDefault="00621F3F" w:rsidP="00E1048B">
      <w:pPr>
        <w:pStyle w:val="ListParagraph"/>
        <w:widowControl w:val="0"/>
        <w:autoSpaceDE w:val="0"/>
        <w:autoSpaceDN w:val="0"/>
        <w:spacing w:after="0" w:line="240" w:lineRule="auto"/>
        <w:jc w:val="both"/>
        <w:rPr>
          <w:rFonts w:eastAsia="Times New Roman" w:cs="Open Sans"/>
          <w:bCs/>
          <w:i/>
        </w:rPr>
      </w:pPr>
      <w:r>
        <w:rPr>
          <w:rFonts w:eastAsia="Times New Roman" w:cs="Open Sans"/>
          <w:b/>
          <w:bCs/>
          <w:u w:val="single"/>
        </w:rPr>
        <w:t>Due Date-</w:t>
      </w:r>
      <w:r w:rsidR="00DF42A6">
        <w:rPr>
          <w:rFonts w:eastAsia="Times New Roman" w:cs="Open Sans"/>
          <w:bCs/>
        </w:rPr>
        <w:t xml:space="preserve"> </w:t>
      </w:r>
      <w:r>
        <w:rPr>
          <w:rFonts w:eastAsia="Times New Roman" w:cs="Open Sans"/>
          <w:bCs/>
        </w:rPr>
        <w:t xml:space="preserve">CLEO’s must designate a fiscal agent and have the fiscal agent in place by </w:t>
      </w:r>
      <w:r w:rsidRPr="00621F3F">
        <w:rPr>
          <w:rFonts w:eastAsia="Times New Roman" w:cs="Open Sans"/>
          <w:bCs/>
          <w:i/>
        </w:rPr>
        <w:t xml:space="preserve">July 1, 2018. </w:t>
      </w:r>
    </w:p>
    <w:p w:rsidR="000A00F7" w:rsidRPr="000A00F7" w:rsidRDefault="000A00F7" w:rsidP="000A00F7">
      <w:pPr>
        <w:pStyle w:val="ListParagraph"/>
        <w:spacing w:line="240" w:lineRule="auto"/>
        <w:ind w:left="1080"/>
        <w:jc w:val="both"/>
        <w:rPr>
          <w:rFonts w:ascii="Open Sans" w:eastAsia="Times New Roman" w:hAnsi="Open Sans" w:cs="Open Sans"/>
        </w:rPr>
      </w:pPr>
    </w:p>
    <w:p w:rsidR="00F3668C" w:rsidRDefault="00E565C6" w:rsidP="001F7F2C">
      <w:pPr>
        <w:pStyle w:val="ListParagraph"/>
        <w:numPr>
          <w:ilvl w:val="0"/>
          <w:numId w:val="1"/>
        </w:numPr>
        <w:rPr>
          <w:rFonts w:ascii="Open Sans" w:eastAsia="Times New Roman" w:hAnsi="Open Sans" w:cs="Open Sans"/>
          <w:b/>
        </w:rPr>
      </w:pPr>
      <w:r w:rsidRPr="001F7F2C">
        <w:rPr>
          <w:rFonts w:ascii="Open Sans" w:eastAsia="Times New Roman" w:hAnsi="Open Sans" w:cs="Open Sans"/>
          <w:b/>
        </w:rPr>
        <w:t>CLEO must appoint new boards and board members</w:t>
      </w:r>
    </w:p>
    <w:p w:rsidR="001F7F2C" w:rsidRDefault="001F7F2C" w:rsidP="001F7F2C">
      <w:pPr>
        <w:pStyle w:val="ListParagraph"/>
      </w:pPr>
      <w:r>
        <w:t xml:space="preserve">Appointment of the Members of the Local Workforce Development Board (WIOA Section 107[c][1][A]): The CLEO is authorized to appoint the members of the LWDB in accordance with criteria established by the Governor in partnership with the State Workforce Development Board (SWDB or State Board). This agreement should include the agreed-upon means by which the CLEO, in collaboration with LEOs, will collectively appoint members to the LWDB (TEGL 27-14). (Workforce Services Policy – Local Governance available at: </w:t>
      </w:r>
      <w:hyperlink r:id="rId11" w:history="1">
        <w:r w:rsidRPr="007C2F72">
          <w:rPr>
            <w:rStyle w:val="Hyperlink"/>
          </w:rPr>
          <w:t>https://www.tn.gov/assets/entities/labor/attachments/Completed_WFS_Policy_- _Local_Governance.pdf</w:t>
        </w:r>
      </w:hyperlink>
      <w:r>
        <w:t>)</w:t>
      </w:r>
    </w:p>
    <w:p w:rsidR="00621F3F" w:rsidRDefault="00621F3F" w:rsidP="001F7F2C">
      <w:pPr>
        <w:pStyle w:val="ListParagraph"/>
      </w:pPr>
    </w:p>
    <w:p w:rsidR="00621F3F" w:rsidRDefault="00621F3F" w:rsidP="001F7F2C">
      <w:pPr>
        <w:pStyle w:val="ListParagraph"/>
      </w:pPr>
      <w:r>
        <w:t>Due to the formation of the 9 new LWDAs, CLEOs must adopt and appoint new LWDBs to represent and be reflective of the new LWDAs.  Please review the guidance titled, “</w:t>
      </w:r>
      <w:r w:rsidRPr="00621F3F">
        <w:rPr>
          <w:i/>
        </w:rPr>
        <w:t>Local Board Nomination</w:t>
      </w:r>
      <w:r>
        <w:t xml:space="preserve">” for detailed instructions on the LWDB appointment process. </w:t>
      </w:r>
    </w:p>
    <w:p w:rsidR="00621F3F" w:rsidRDefault="009C1472" w:rsidP="001F7F2C">
      <w:pPr>
        <w:pStyle w:val="ListParagraph"/>
      </w:pPr>
      <w:hyperlink r:id="rId12" w:history="1">
        <w:r w:rsidR="00621F3F" w:rsidRPr="00997BC3">
          <w:rPr>
            <w:rStyle w:val="Hyperlink"/>
          </w:rPr>
          <w:t>https://www.tn.gov/content/dam/tn/workforce/documents/ProgramManagement/Local_Board_Nomination_Guidance.pdf</w:t>
        </w:r>
      </w:hyperlink>
    </w:p>
    <w:p w:rsidR="00621F3F" w:rsidRDefault="00621F3F" w:rsidP="001F7F2C">
      <w:pPr>
        <w:pStyle w:val="ListParagraph"/>
      </w:pPr>
    </w:p>
    <w:p w:rsidR="001F7F2C" w:rsidRDefault="00FA75E0" w:rsidP="001F7F2C">
      <w:pPr>
        <w:pStyle w:val="ListParagraph"/>
        <w:rPr>
          <w:rFonts w:eastAsia="Times New Roman" w:cs="Open Sans"/>
        </w:rPr>
      </w:pPr>
      <w:r w:rsidRPr="00FA75E0">
        <w:rPr>
          <w:rFonts w:eastAsia="Times New Roman" w:cs="Open Sans"/>
          <w:b/>
          <w:u w:val="single"/>
        </w:rPr>
        <w:t xml:space="preserve">Due Date- </w:t>
      </w:r>
      <w:r w:rsidRPr="00FA75E0">
        <w:rPr>
          <w:rFonts w:eastAsia="Times New Roman" w:cs="Open Sans"/>
        </w:rPr>
        <w:t xml:space="preserve">New boards must be in place </w:t>
      </w:r>
      <w:r w:rsidR="006C2681">
        <w:rPr>
          <w:rFonts w:eastAsia="Times New Roman" w:cs="Open Sans"/>
        </w:rPr>
        <w:t xml:space="preserve">no later than  </w:t>
      </w:r>
      <w:r w:rsidRPr="00FA75E0">
        <w:rPr>
          <w:rFonts w:eastAsia="Times New Roman" w:cs="Open Sans"/>
        </w:rPr>
        <w:t xml:space="preserve"> </w:t>
      </w:r>
      <w:r w:rsidR="00664402">
        <w:rPr>
          <w:rFonts w:eastAsia="Times New Roman" w:cs="Open Sans"/>
        </w:rPr>
        <w:t>August</w:t>
      </w:r>
      <w:r w:rsidR="006C2681">
        <w:rPr>
          <w:rFonts w:eastAsia="Times New Roman" w:cs="Open Sans"/>
        </w:rPr>
        <w:t xml:space="preserve"> </w:t>
      </w:r>
      <w:r w:rsidR="00664402">
        <w:rPr>
          <w:rFonts w:eastAsia="Times New Roman" w:cs="Open Sans"/>
        </w:rPr>
        <w:t>1</w:t>
      </w:r>
      <w:r w:rsidRPr="00FA75E0">
        <w:rPr>
          <w:rFonts w:eastAsia="Times New Roman" w:cs="Open Sans"/>
        </w:rPr>
        <w:t xml:space="preserve">, 2018. </w:t>
      </w:r>
    </w:p>
    <w:p w:rsidR="00FA75E0" w:rsidRPr="00FA75E0" w:rsidRDefault="00FA75E0" w:rsidP="001F7F2C">
      <w:pPr>
        <w:pStyle w:val="ListParagraph"/>
        <w:rPr>
          <w:rFonts w:eastAsia="Times New Roman" w:cs="Open Sans"/>
        </w:rPr>
      </w:pPr>
    </w:p>
    <w:p w:rsidR="00F07446" w:rsidRDefault="00E565C6" w:rsidP="005C563D">
      <w:pPr>
        <w:pStyle w:val="ListParagraph"/>
        <w:widowControl w:val="0"/>
        <w:numPr>
          <w:ilvl w:val="0"/>
          <w:numId w:val="1"/>
        </w:numPr>
        <w:autoSpaceDE w:val="0"/>
        <w:autoSpaceDN w:val="0"/>
        <w:spacing w:after="0" w:line="240" w:lineRule="auto"/>
        <w:jc w:val="both"/>
        <w:rPr>
          <w:rFonts w:ascii="Open Sans" w:eastAsia="Times New Roman" w:hAnsi="Open Sans" w:cs="Open Sans"/>
          <w:b/>
        </w:rPr>
      </w:pPr>
      <w:r>
        <w:rPr>
          <w:rFonts w:ascii="Open Sans" w:eastAsia="Times New Roman" w:hAnsi="Open Sans" w:cs="Open Sans"/>
          <w:b/>
        </w:rPr>
        <w:t>CLEO and LWDB determine how the board will be staffed, and who will staff the board</w:t>
      </w:r>
      <w:r w:rsidR="00FA75E0">
        <w:rPr>
          <w:rFonts w:ascii="Open Sans" w:eastAsia="Times New Roman" w:hAnsi="Open Sans" w:cs="Open Sans"/>
          <w:b/>
        </w:rPr>
        <w:t>:</w:t>
      </w:r>
    </w:p>
    <w:p w:rsidR="00FA75E0" w:rsidRDefault="00FA75E0" w:rsidP="00FA75E0">
      <w:pPr>
        <w:pStyle w:val="ListParagraph"/>
        <w:widowControl w:val="0"/>
        <w:autoSpaceDE w:val="0"/>
        <w:autoSpaceDN w:val="0"/>
        <w:spacing w:after="0" w:line="240" w:lineRule="auto"/>
        <w:jc w:val="both"/>
        <w:rPr>
          <w:rFonts w:ascii="Open Sans" w:eastAsia="Times New Roman" w:hAnsi="Open Sans" w:cs="Open Sans"/>
          <w:b/>
        </w:rPr>
      </w:pPr>
    </w:p>
    <w:p w:rsidR="00FA75E0" w:rsidRPr="00FA75E0" w:rsidRDefault="00FA75E0" w:rsidP="00FA75E0">
      <w:pPr>
        <w:pStyle w:val="ListParagraph"/>
        <w:widowControl w:val="0"/>
        <w:autoSpaceDE w:val="0"/>
        <w:autoSpaceDN w:val="0"/>
        <w:spacing w:after="0" w:line="240" w:lineRule="auto"/>
        <w:jc w:val="both"/>
        <w:rPr>
          <w:rFonts w:eastAsia="Times New Roman" w:cs="Open Sans"/>
          <w:i/>
        </w:rPr>
      </w:pPr>
      <w:r w:rsidRPr="00FA75E0">
        <w:rPr>
          <w:rFonts w:eastAsia="Times New Roman" w:cs="Open Sans"/>
          <w:i/>
        </w:rPr>
        <w:t>20 CFR 679.400</w:t>
      </w:r>
      <w:r>
        <w:rPr>
          <w:rFonts w:eastAsia="Times New Roman" w:cs="Open Sans"/>
          <w:i/>
        </w:rPr>
        <w:t xml:space="preserve"> </w:t>
      </w:r>
      <w:r>
        <w:rPr>
          <w:rFonts w:eastAsia="Times New Roman" w:cs="Open Sans"/>
        </w:rPr>
        <w:t xml:space="preserve">states: </w:t>
      </w:r>
      <w:r w:rsidRPr="00FA75E0">
        <w:rPr>
          <w:rFonts w:eastAsia="Times New Roman" w:cs="Open Sans"/>
          <w:i/>
        </w:rPr>
        <w:t>(a) WIOA sec. 107(f) grants Local WDBs authority to hire a director and other staff to assist in carrying out the functions of the Local WDB.</w:t>
      </w:r>
    </w:p>
    <w:p w:rsidR="00FA75E0" w:rsidRPr="00FA75E0" w:rsidRDefault="00FA75E0" w:rsidP="00FA75E0">
      <w:pPr>
        <w:pStyle w:val="ListParagraph"/>
        <w:widowControl w:val="0"/>
        <w:autoSpaceDE w:val="0"/>
        <w:autoSpaceDN w:val="0"/>
        <w:spacing w:after="0" w:line="240" w:lineRule="auto"/>
        <w:jc w:val="both"/>
        <w:rPr>
          <w:rFonts w:eastAsia="Times New Roman" w:cs="Open Sans"/>
          <w:i/>
        </w:rPr>
      </w:pPr>
    </w:p>
    <w:p w:rsidR="00FA75E0" w:rsidRPr="00FA75E0" w:rsidRDefault="00FA75E0" w:rsidP="00FA75E0">
      <w:pPr>
        <w:pStyle w:val="ListParagraph"/>
        <w:widowControl w:val="0"/>
        <w:autoSpaceDE w:val="0"/>
        <w:autoSpaceDN w:val="0"/>
        <w:spacing w:after="0" w:line="240" w:lineRule="auto"/>
        <w:jc w:val="both"/>
        <w:rPr>
          <w:rFonts w:eastAsia="Times New Roman" w:cs="Open Sans"/>
          <w:i/>
        </w:rPr>
      </w:pPr>
      <w:r w:rsidRPr="00FA75E0">
        <w:rPr>
          <w:rFonts w:eastAsia="Times New Roman" w:cs="Open Sans"/>
          <w:i/>
        </w:rPr>
        <w:t>(b) Local WDBs must establish and apply a set of qualifications for the position of director that ensures the individual selected has the requisite knowledge, skills, and abilities to meet identified benchmarks and to assist in carrying out the functions of the Local WDB.</w:t>
      </w:r>
    </w:p>
    <w:p w:rsidR="00FA75E0" w:rsidRPr="00FA75E0" w:rsidRDefault="00FA75E0" w:rsidP="00FA75E0">
      <w:pPr>
        <w:pStyle w:val="ListParagraph"/>
        <w:widowControl w:val="0"/>
        <w:autoSpaceDE w:val="0"/>
        <w:autoSpaceDN w:val="0"/>
        <w:spacing w:after="0" w:line="240" w:lineRule="auto"/>
        <w:jc w:val="both"/>
        <w:rPr>
          <w:rFonts w:eastAsia="Times New Roman" w:cs="Open Sans"/>
          <w:i/>
        </w:rPr>
      </w:pPr>
    </w:p>
    <w:p w:rsidR="00FA75E0" w:rsidRPr="00FA75E0" w:rsidRDefault="00FA75E0" w:rsidP="00FA75E0">
      <w:pPr>
        <w:pStyle w:val="ListParagraph"/>
        <w:widowControl w:val="0"/>
        <w:autoSpaceDE w:val="0"/>
        <w:autoSpaceDN w:val="0"/>
        <w:spacing w:after="0" w:line="240" w:lineRule="auto"/>
        <w:jc w:val="both"/>
        <w:rPr>
          <w:rFonts w:eastAsia="Times New Roman" w:cs="Open Sans"/>
          <w:i/>
        </w:rPr>
      </w:pPr>
      <w:r w:rsidRPr="00FA75E0">
        <w:rPr>
          <w:rFonts w:eastAsia="Times New Roman" w:cs="Open Sans"/>
          <w:i/>
        </w:rPr>
        <w:t>(c) The Local WDB director and staff must be subject to the limitations on the payment of salary and bonuses described in WIOA sec. 194(15).</w:t>
      </w:r>
    </w:p>
    <w:p w:rsidR="00FA75E0" w:rsidRPr="00FA75E0" w:rsidRDefault="00FA75E0" w:rsidP="00FA75E0">
      <w:pPr>
        <w:pStyle w:val="ListParagraph"/>
        <w:widowControl w:val="0"/>
        <w:autoSpaceDE w:val="0"/>
        <w:autoSpaceDN w:val="0"/>
        <w:spacing w:after="0" w:line="240" w:lineRule="auto"/>
        <w:jc w:val="both"/>
        <w:rPr>
          <w:rFonts w:eastAsia="Times New Roman" w:cs="Open Sans"/>
          <w:i/>
        </w:rPr>
      </w:pPr>
    </w:p>
    <w:p w:rsidR="00FA75E0" w:rsidRPr="00FA75E0" w:rsidRDefault="00FA75E0" w:rsidP="00FA75E0">
      <w:pPr>
        <w:pStyle w:val="ListParagraph"/>
        <w:widowControl w:val="0"/>
        <w:autoSpaceDE w:val="0"/>
        <w:autoSpaceDN w:val="0"/>
        <w:spacing w:after="0" w:line="240" w:lineRule="auto"/>
        <w:jc w:val="both"/>
        <w:rPr>
          <w:rFonts w:eastAsia="Times New Roman" w:cs="Open Sans"/>
          <w:i/>
        </w:rPr>
      </w:pPr>
      <w:r w:rsidRPr="00FA75E0">
        <w:rPr>
          <w:rFonts w:eastAsia="Times New Roman" w:cs="Open Sans"/>
          <w:i/>
        </w:rPr>
        <w:t>(d) In general, Local WDB staff only may assist the Local WDB fulfill the required functions at WIOA sec. 107(d).</w:t>
      </w:r>
    </w:p>
    <w:p w:rsidR="00FA75E0" w:rsidRPr="00FA75E0" w:rsidRDefault="00FA75E0" w:rsidP="00FA75E0">
      <w:pPr>
        <w:pStyle w:val="ListParagraph"/>
        <w:widowControl w:val="0"/>
        <w:autoSpaceDE w:val="0"/>
        <w:autoSpaceDN w:val="0"/>
        <w:spacing w:after="0" w:line="240" w:lineRule="auto"/>
        <w:jc w:val="both"/>
        <w:rPr>
          <w:rFonts w:eastAsia="Times New Roman" w:cs="Open Sans"/>
          <w:i/>
        </w:rPr>
      </w:pPr>
    </w:p>
    <w:p w:rsidR="00FA75E0" w:rsidRDefault="00FA75E0" w:rsidP="00FA75E0">
      <w:pPr>
        <w:pStyle w:val="ListParagraph"/>
        <w:widowControl w:val="0"/>
        <w:autoSpaceDE w:val="0"/>
        <w:autoSpaceDN w:val="0"/>
        <w:spacing w:after="0" w:line="240" w:lineRule="auto"/>
        <w:jc w:val="both"/>
        <w:rPr>
          <w:rFonts w:eastAsia="Times New Roman" w:cs="Open Sans"/>
          <w:i/>
        </w:rPr>
      </w:pPr>
      <w:r w:rsidRPr="00FA75E0">
        <w:rPr>
          <w:rFonts w:eastAsia="Times New Roman" w:cs="Open Sans"/>
          <w:i/>
        </w:rPr>
        <w:t>(e) Should the WDB select an entity to staff the WDB that provides additional workforce functions beyond the functions described at WIOA sec. 107(d), such an entity is required to enter into a written agreement with the Local WDB and chief elected official(s) to clarify their roles and responsibilities as required by § 679.430.</w:t>
      </w:r>
    </w:p>
    <w:p w:rsidR="00FA75E0" w:rsidRDefault="00FA75E0" w:rsidP="00FA75E0">
      <w:pPr>
        <w:pStyle w:val="ListParagraph"/>
        <w:widowControl w:val="0"/>
        <w:autoSpaceDE w:val="0"/>
        <w:autoSpaceDN w:val="0"/>
        <w:spacing w:after="0" w:line="240" w:lineRule="auto"/>
        <w:jc w:val="both"/>
        <w:rPr>
          <w:rFonts w:eastAsia="Times New Roman" w:cs="Open Sans"/>
          <w:i/>
        </w:rPr>
      </w:pPr>
    </w:p>
    <w:p w:rsidR="00FA75E0" w:rsidRDefault="00FA75E0" w:rsidP="00FA75E0">
      <w:pPr>
        <w:pStyle w:val="ListParagraph"/>
        <w:widowControl w:val="0"/>
        <w:autoSpaceDE w:val="0"/>
        <w:autoSpaceDN w:val="0"/>
        <w:spacing w:after="0" w:line="240" w:lineRule="auto"/>
        <w:jc w:val="both"/>
        <w:rPr>
          <w:rFonts w:eastAsia="Times New Roman" w:cs="Open Sans"/>
        </w:rPr>
      </w:pPr>
      <w:r>
        <w:rPr>
          <w:rFonts w:eastAsia="Times New Roman" w:cs="Open Sans"/>
        </w:rPr>
        <w:t>An entity or individuals serving as staff to the board are prohibited of providing services as the one-stop operator or career service provider level.  Please refer to the memo titled, “</w:t>
      </w:r>
      <w:r w:rsidRPr="00FA75E0">
        <w:rPr>
          <w:rFonts w:eastAsia="Times New Roman" w:cs="Open Sans"/>
          <w:i/>
        </w:rPr>
        <w:t>Prohibition of Local Workforce Development Boards as Direct Providers of One-Stop System Services</w:t>
      </w:r>
      <w:r>
        <w:rPr>
          <w:rFonts w:eastAsia="Times New Roman" w:cs="Open Sans"/>
        </w:rPr>
        <w:t xml:space="preserve">” for detailed explanation on the role of LWDB staff. </w:t>
      </w:r>
    </w:p>
    <w:p w:rsidR="00FA75E0" w:rsidRDefault="009C1472" w:rsidP="00FA75E0">
      <w:pPr>
        <w:pStyle w:val="ListParagraph"/>
        <w:widowControl w:val="0"/>
        <w:autoSpaceDE w:val="0"/>
        <w:autoSpaceDN w:val="0"/>
        <w:spacing w:after="0" w:line="240" w:lineRule="auto"/>
        <w:jc w:val="both"/>
        <w:rPr>
          <w:rFonts w:eastAsia="Times New Roman" w:cs="Open Sans"/>
        </w:rPr>
      </w:pPr>
      <w:hyperlink r:id="rId13" w:history="1">
        <w:r w:rsidR="00FA75E0" w:rsidRPr="00997BC3">
          <w:rPr>
            <w:rStyle w:val="Hyperlink"/>
            <w:rFonts w:eastAsia="Times New Roman" w:cs="Open Sans"/>
          </w:rPr>
          <w:t>https://www.tn.gov/content/dam/tn/workforce/documents/ProgramManagement/WFS_Memo_on_LWDBs_providing_one-stop_services.pdf</w:t>
        </w:r>
      </w:hyperlink>
    </w:p>
    <w:p w:rsidR="00FA75E0" w:rsidRDefault="00FA75E0" w:rsidP="00FA75E0">
      <w:pPr>
        <w:pStyle w:val="ListParagraph"/>
        <w:widowControl w:val="0"/>
        <w:autoSpaceDE w:val="0"/>
        <w:autoSpaceDN w:val="0"/>
        <w:spacing w:after="0" w:line="240" w:lineRule="auto"/>
        <w:jc w:val="both"/>
        <w:rPr>
          <w:rFonts w:eastAsia="Times New Roman" w:cs="Open Sans"/>
        </w:rPr>
      </w:pPr>
    </w:p>
    <w:p w:rsidR="00FA75E0" w:rsidRDefault="00FA75E0" w:rsidP="00FA75E0">
      <w:pPr>
        <w:pStyle w:val="ListParagraph"/>
        <w:widowControl w:val="0"/>
        <w:autoSpaceDE w:val="0"/>
        <w:autoSpaceDN w:val="0"/>
        <w:spacing w:after="0" w:line="240" w:lineRule="auto"/>
        <w:jc w:val="both"/>
        <w:rPr>
          <w:rFonts w:eastAsia="Times New Roman" w:cs="Open Sans"/>
        </w:rPr>
      </w:pPr>
      <w:r w:rsidRPr="00FA75E0">
        <w:rPr>
          <w:rFonts w:eastAsia="Times New Roman" w:cs="Open Sans"/>
          <w:b/>
          <w:u w:val="single"/>
        </w:rPr>
        <w:t>Due Date</w:t>
      </w:r>
      <w:r>
        <w:rPr>
          <w:rFonts w:eastAsia="Times New Roman" w:cs="Open Sans"/>
        </w:rPr>
        <w:t xml:space="preserve">- </w:t>
      </w:r>
      <w:r w:rsidR="006C2681" w:rsidRPr="006C2681">
        <w:rPr>
          <w:rFonts w:eastAsia="Times New Roman" w:cs="Open Sans"/>
          <w:i/>
        </w:rPr>
        <w:t>Must be in place no later than August 1, 2018</w:t>
      </w:r>
      <w:r w:rsidR="006C2681">
        <w:rPr>
          <w:rFonts w:eastAsia="Times New Roman" w:cs="Open Sans"/>
        </w:rPr>
        <w:t xml:space="preserve"> </w:t>
      </w:r>
    </w:p>
    <w:p w:rsidR="00FA75E0" w:rsidRPr="00FA75E0" w:rsidRDefault="00FA75E0" w:rsidP="00FA75E0">
      <w:pPr>
        <w:pStyle w:val="ListParagraph"/>
        <w:widowControl w:val="0"/>
        <w:autoSpaceDE w:val="0"/>
        <w:autoSpaceDN w:val="0"/>
        <w:spacing w:after="0" w:line="240" w:lineRule="auto"/>
        <w:jc w:val="both"/>
        <w:rPr>
          <w:rFonts w:eastAsia="Times New Roman" w:cs="Open Sans"/>
        </w:rPr>
      </w:pPr>
    </w:p>
    <w:p w:rsidR="00D45A05" w:rsidRDefault="00D45A05" w:rsidP="005C563D">
      <w:pPr>
        <w:pStyle w:val="ListParagraph"/>
        <w:widowControl w:val="0"/>
        <w:numPr>
          <w:ilvl w:val="0"/>
          <w:numId w:val="1"/>
        </w:numPr>
        <w:autoSpaceDE w:val="0"/>
        <w:autoSpaceDN w:val="0"/>
        <w:spacing w:after="0" w:line="240" w:lineRule="auto"/>
        <w:jc w:val="both"/>
        <w:rPr>
          <w:rFonts w:ascii="Open Sans" w:eastAsia="Times New Roman" w:hAnsi="Open Sans" w:cs="Open Sans"/>
          <w:b/>
        </w:rPr>
      </w:pPr>
      <w:r>
        <w:rPr>
          <w:rFonts w:ascii="Open Sans" w:eastAsia="Times New Roman" w:hAnsi="Open Sans" w:cs="Open Sans"/>
          <w:b/>
        </w:rPr>
        <w:t>One-Stop Operator and Career Service Providers must be procured</w:t>
      </w:r>
      <w:r w:rsidR="00933DEC">
        <w:rPr>
          <w:rFonts w:ascii="Open Sans" w:eastAsia="Times New Roman" w:hAnsi="Open Sans" w:cs="Open Sans"/>
          <w:b/>
        </w:rPr>
        <w:t>:</w:t>
      </w:r>
    </w:p>
    <w:p w:rsidR="00933DEC" w:rsidRDefault="00933DEC" w:rsidP="00933DEC">
      <w:pPr>
        <w:pStyle w:val="ListParagraph"/>
        <w:widowControl w:val="0"/>
        <w:autoSpaceDE w:val="0"/>
        <w:autoSpaceDN w:val="0"/>
        <w:spacing w:after="0" w:line="240" w:lineRule="auto"/>
        <w:jc w:val="both"/>
        <w:rPr>
          <w:rFonts w:ascii="Open Sans" w:eastAsia="Times New Roman" w:hAnsi="Open Sans" w:cs="Open Sans"/>
          <w:b/>
        </w:rPr>
      </w:pPr>
    </w:p>
    <w:p w:rsidR="00933DEC" w:rsidRPr="00933DEC" w:rsidRDefault="00933DEC" w:rsidP="00933DEC">
      <w:pPr>
        <w:pStyle w:val="ListParagraph"/>
        <w:widowControl w:val="0"/>
        <w:autoSpaceDE w:val="0"/>
        <w:autoSpaceDN w:val="0"/>
        <w:spacing w:after="0" w:line="240" w:lineRule="auto"/>
        <w:jc w:val="both"/>
        <w:rPr>
          <w:rFonts w:eastAsia="Times New Roman" w:cs="Open Sans"/>
        </w:rPr>
      </w:pPr>
      <w:r>
        <w:rPr>
          <w:rFonts w:eastAsia="Times New Roman" w:cs="Open Sans"/>
        </w:rPr>
        <w:t xml:space="preserve">One-Stop Operators and Career Service Providers must be competitively procured for each LWDA in adherence to the guidance below.  </w:t>
      </w:r>
    </w:p>
    <w:p w:rsidR="001F7F2C" w:rsidRDefault="009C1472" w:rsidP="001F7F2C">
      <w:pPr>
        <w:pStyle w:val="ListParagraph"/>
        <w:widowControl w:val="0"/>
        <w:autoSpaceDE w:val="0"/>
        <w:autoSpaceDN w:val="0"/>
        <w:spacing w:after="0" w:line="240" w:lineRule="auto"/>
        <w:jc w:val="both"/>
        <w:rPr>
          <w:rFonts w:ascii="Open Sans" w:eastAsia="Times New Roman" w:hAnsi="Open Sans" w:cs="Open Sans"/>
          <w:b/>
        </w:rPr>
      </w:pPr>
      <w:hyperlink r:id="rId14" w:history="1">
        <w:r w:rsidR="001F7F2C" w:rsidRPr="007C2F72">
          <w:rPr>
            <w:rStyle w:val="Hyperlink"/>
            <w:rFonts w:ascii="Open Sans" w:eastAsia="Times New Roman" w:hAnsi="Open Sans" w:cs="Open Sans"/>
            <w:b/>
          </w:rPr>
          <w:t>https://www.tn.gov/content/dam/tn/workforce/documents/ProgramManagement/WorkforceServicesGuidance-OSOandCareerServiceProviderProcurement.pdf</w:t>
        </w:r>
      </w:hyperlink>
    </w:p>
    <w:p w:rsidR="001F7F2C" w:rsidRDefault="001F7F2C" w:rsidP="001F7F2C">
      <w:pPr>
        <w:pStyle w:val="ListParagraph"/>
        <w:widowControl w:val="0"/>
        <w:autoSpaceDE w:val="0"/>
        <w:autoSpaceDN w:val="0"/>
        <w:spacing w:after="0" w:line="240" w:lineRule="auto"/>
        <w:jc w:val="both"/>
        <w:rPr>
          <w:rFonts w:ascii="Open Sans" w:eastAsia="Times New Roman" w:hAnsi="Open Sans" w:cs="Open Sans"/>
          <w:b/>
        </w:rPr>
      </w:pPr>
    </w:p>
    <w:p w:rsidR="00933DEC" w:rsidRDefault="00933DEC" w:rsidP="001F7F2C">
      <w:pPr>
        <w:pStyle w:val="ListParagraph"/>
        <w:widowControl w:val="0"/>
        <w:autoSpaceDE w:val="0"/>
        <w:autoSpaceDN w:val="0"/>
        <w:spacing w:after="0" w:line="240" w:lineRule="auto"/>
        <w:jc w:val="both"/>
        <w:rPr>
          <w:rFonts w:eastAsia="Times New Roman" w:cs="Open Sans"/>
        </w:rPr>
      </w:pPr>
      <w:r w:rsidRPr="00933DEC">
        <w:rPr>
          <w:rFonts w:eastAsia="Times New Roman" w:cs="Open Sans"/>
          <w:b/>
          <w:u w:val="single"/>
        </w:rPr>
        <w:t xml:space="preserve">Due Date-   </w:t>
      </w:r>
      <w:r w:rsidRPr="00933DEC">
        <w:rPr>
          <w:rFonts w:eastAsia="Times New Roman" w:cs="Open Sans"/>
        </w:rPr>
        <w:t xml:space="preserve">Contracts must be in place with an effective start date of </w:t>
      </w:r>
      <w:r w:rsidRPr="00933DEC">
        <w:rPr>
          <w:rFonts w:eastAsia="Times New Roman" w:cs="Open Sans"/>
          <w:i/>
        </w:rPr>
        <w:t>October 1, 2018.</w:t>
      </w:r>
      <w:r w:rsidRPr="00933DEC">
        <w:rPr>
          <w:rFonts w:eastAsia="Times New Roman" w:cs="Open Sans"/>
        </w:rPr>
        <w:t xml:space="preserve"> </w:t>
      </w:r>
    </w:p>
    <w:p w:rsidR="00933DEC" w:rsidRPr="00933DEC" w:rsidRDefault="00933DEC" w:rsidP="001F7F2C">
      <w:pPr>
        <w:pStyle w:val="ListParagraph"/>
        <w:widowControl w:val="0"/>
        <w:autoSpaceDE w:val="0"/>
        <w:autoSpaceDN w:val="0"/>
        <w:spacing w:after="0" w:line="240" w:lineRule="auto"/>
        <w:jc w:val="both"/>
        <w:rPr>
          <w:rFonts w:eastAsia="Times New Roman" w:cs="Open Sans"/>
        </w:rPr>
      </w:pPr>
    </w:p>
    <w:p w:rsidR="00CD1942" w:rsidRDefault="00E565C6" w:rsidP="00CD1942">
      <w:pPr>
        <w:pStyle w:val="ListParagraph"/>
        <w:widowControl w:val="0"/>
        <w:numPr>
          <w:ilvl w:val="0"/>
          <w:numId w:val="1"/>
        </w:numPr>
        <w:autoSpaceDE w:val="0"/>
        <w:autoSpaceDN w:val="0"/>
        <w:spacing w:after="0" w:line="240" w:lineRule="auto"/>
        <w:jc w:val="both"/>
        <w:rPr>
          <w:rFonts w:ascii="Open Sans" w:eastAsia="Times New Roman" w:hAnsi="Open Sans" w:cs="Open Sans"/>
          <w:b/>
        </w:rPr>
      </w:pPr>
      <w:r>
        <w:rPr>
          <w:rFonts w:ascii="Open Sans" w:eastAsia="Times New Roman" w:hAnsi="Open Sans" w:cs="Open Sans"/>
          <w:b/>
        </w:rPr>
        <w:t>Local policies must be adopted under the new board/area</w:t>
      </w:r>
      <w:r w:rsidR="00933DEC">
        <w:rPr>
          <w:rFonts w:ascii="Open Sans" w:eastAsia="Times New Roman" w:hAnsi="Open Sans" w:cs="Open Sans"/>
          <w:b/>
        </w:rPr>
        <w:t>:</w:t>
      </w:r>
    </w:p>
    <w:p w:rsidR="00933DEC" w:rsidRDefault="00933DEC" w:rsidP="00933DEC">
      <w:pPr>
        <w:pStyle w:val="ListParagraph"/>
        <w:widowControl w:val="0"/>
        <w:autoSpaceDE w:val="0"/>
        <w:autoSpaceDN w:val="0"/>
        <w:spacing w:after="0" w:line="240" w:lineRule="auto"/>
        <w:jc w:val="both"/>
        <w:rPr>
          <w:rFonts w:ascii="Open Sans" w:eastAsia="Times New Roman" w:hAnsi="Open Sans" w:cs="Open Sans"/>
          <w:b/>
        </w:rPr>
      </w:pPr>
    </w:p>
    <w:p w:rsidR="00933DEC" w:rsidRDefault="00933DEC" w:rsidP="00933DEC">
      <w:pPr>
        <w:pStyle w:val="ListParagraph"/>
        <w:widowControl w:val="0"/>
        <w:autoSpaceDE w:val="0"/>
        <w:autoSpaceDN w:val="0"/>
        <w:spacing w:after="0" w:line="240" w:lineRule="auto"/>
        <w:jc w:val="both"/>
        <w:rPr>
          <w:rFonts w:eastAsia="Times New Roman" w:cs="Open Sans"/>
        </w:rPr>
      </w:pPr>
      <w:r>
        <w:rPr>
          <w:rFonts w:eastAsia="Times New Roman" w:cs="Open Sans"/>
        </w:rPr>
        <w:t xml:space="preserve">Upon formation of the new LWDBs, the LWDBs and CLEOs must adopt local policies pursuant to State Workforce Development Board, TDLWD, and WIOA requirements.  Existing LWDBs have policies in place; the newly formed LWDBs should review and adopt or develop local policies </w:t>
      </w:r>
      <w:r>
        <w:rPr>
          <w:rFonts w:eastAsia="Times New Roman" w:cs="Open Sans"/>
        </w:rPr>
        <w:lastRenderedPageBreak/>
        <w:t xml:space="preserve">accordingly based on the new alignment and needs of the LWDA. </w:t>
      </w:r>
      <w:r w:rsidRPr="00933DEC">
        <w:rPr>
          <w:rFonts w:eastAsia="Times New Roman" w:cs="Open Sans"/>
          <w:b/>
          <w:u w:val="single"/>
        </w:rPr>
        <w:t>Due Date</w:t>
      </w:r>
      <w:r>
        <w:rPr>
          <w:rFonts w:eastAsia="Times New Roman" w:cs="Open Sans"/>
        </w:rPr>
        <w:t xml:space="preserve">- </w:t>
      </w:r>
      <w:r w:rsidRPr="00933DEC">
        <w:rPr>
          <w:rFonts w:eastAsia="Times New Roman" w:cs="Open Sans"/>
          <w:i/>
        </w:rPr>
        <w:t>December 1, 2018</w:t>
      </w:r>
      <w:r>
        <w:rPr>
          <w:rFonts w:eastAsia="Times New Roman" w:cs="Open Sans"/>
        </w:rPr>
        <w:t>.</w:t>
      </w:r>
    </w:p>
    <w:p w:rsidR="00933DEC" w:rsidRPr="00933DEC" w:rsidRDefault="00933DEC" w:rsidP="00933DEC">
      <w:pPr>
        <w:pStyle w:val="ListParagraph"/>
        <w:widowControl w:val="0"/>
        <w:autoSpaceDE w:val="0"/>
        <w:autoSpaceDN w:val="0"/>
        <w:spacing w:after="0" w:line="240" w:lineRule="auto"/>
        <w:jc w:val="both"/>
        <w:rPr>
          <w:rFonts w:eastAsia="Times New Roman" w:cs="Open Sans"/>
        </w:rPr>
      </w:pPr>
    </w:p>
    <w:p w:rsidR="00933DEC" w:rsidRPr="00CD1942" w:rsidRDefault="00933DEC" w:rsidP="00933DEC">
      <w:pPr>
        <w:pStyle w:val="ListParagraph"/>
        <w:widowControl w:val="0"/>
        <w:autoSpaceDE w:val="0"/>
        <w:autoSpaceDN w:val="0"/>
        <w:spacing w:after="0" w:line="240" w:lineRule="auto"/>
        <w:jc w:val="both"/>
        <w:rPr>
          <w:rFonts w:ascii="Open Sans" w:eastAsia="Times New Roman" w:hAnsi="Open Sans" w:cs="Open Sans"/>
          <w:b/>
        </w:rPr>
      </w:pPr>
    </w:p>
    <w:p w:rsidR="009877AA" w:rsidRDefault="00E565C6" w:rsidP="005C563D">
      <w:pPr>
        <w:pStyle w:val="ListParagraph"/>
        <w:widowControl w:val="0"/>
        <w:numPr>
          <w:ilvl w:val="0"/>
          <w:numId w:val="1"/>
        </w:numPr>
        <w:autoSpaceDE w:val="0"/>
        <w:autoSpaceDN w:val="0"/>
        <w:spacing w:after="0" w:line="240" w:lineRule="auto"/>
        <w:jc w:val="both"/>
        <w:rPr>
          <w:rFonts w:ascii="Open Sans" w:eastAsia="Times New Roman" w:hAnsi="Open Sans" w:cs="Open Sans"/>
          <w:b/>
        </w:rPr>
      </w:pPr>
      <w:r>
        <w:rPr>
          <w:rFonts w:ascii="Open Sans" w:eastAsia="Times New Roman" w:hAnsi="Open Sans" w:cs="Open Sans"/>
          <w:b/>
        </w:rPr>
        <w:t>MOUs and IFAs must be updated with partners</w:t>
      </w:r>
      <w:r w:rsidR="00933DEC">
        <w:rPr>
          <w:rFonts w:ascii="Open Sans" w:eastAsia="Times New Roman" w:hAnsi="Open Sans" w:cs="Open Sans"/>
          <w:b/>
        </w:rPr>
        <w:t>:</w:t>
      </w:r>
    </w:p>
    <w:p w:rsidR="00E565C6" w:rsidRDefault="00D45A05" w:rsidP="00E565C6">
      <w:pPr>
        <w:pStyle w:val="ListParagraph"/>
        <w:widowControl w:val="0"/>
        <w:numPr>
          <w:ilvl w:val="1"/>
          <w:numId w:val="1"/>
        </w:numPr>
        <w:autoSpaceDE w:val="0"/>
        <w:autoSpaceDN w:val="0"/>
        <w:spacing w:after="0" w:line="240" w:lineRule="auto"/>
        <w:jc w:val="both"/>
        <w:rPr>
          <w:rFonts w:ascii="Open Sans" w:eastAsia="Times New Roman" w:hAnsi="Open Sans" w:cs="Open Sans"/>
          <w:b/>
        </w:rPr>
      </w:pPr>
      <w:r>
        <w:rPr>
          <w:rFonts w:ascii="Open Sans" w:eastAsia="Times New Roman" w:hAnsi="Open Sans" w:cs="Open Sans"/>
          <w:b/>
        </w:rPr>
        <w:t>Update of MOU</w:t>
      </w:r>
    </w:p>
    <w:p w:rsidR="00D45A05" w:rsidRDefault="00D45A05" w:rsidP="00E565C6">
      <w:pPr>
        <w:pStyle w:val="ListParagraph"/>
        <w:widowControl w:val="0"/>
        <w:numPr>
          <w:ilvl w:val="1"/>
          <w:numId w:val="1"/>
        </w:numPr>
        <w:autoSpaceDE w:val="0"/>
        <w:autoSpaceDN w:val="0"/>
        <w:spacing w:after="0" w:line="240" w:lineRule="auto"/>
        <w:jc w:val="both"/>
        <w:rPr>
          <w:rFonts w:ascii="Open Sans" w:eastAsia="Times New Roman" w:hAnsi="Open Sans" w:cs="Open Sans"/>
          <w:b/>
        </w:rPr>
      </w:pPr>
      <w:r>
        <w:rPr>
          <w:rFonts w:ascii="Open Sans" w:eastAsia="Times New Roman" w:hAnsi="Open Sans" w:cs="Open Sans"/>
          <w:b/>
        </w:rPr>
        <w:t>Update of IFA</w:t>
      </w:r>
    </w:p>
    <w:p w:rsidR="00933DEC" w:rsidRDefault="00933DEC" w:rsidP="00933DEC">
      <w:pPr>
        <w:pStyle w:val="ListParagraph"/>
        <w:widowControl w:val="0"/>
        <w:autoSpaceDE w:val="0"/>
        <w:autoSpaceDN w:val="0"/>
        <w:spacing w:after="0" w:line="240" w:lineRule="auto"/>
        <w:jc w:val="both"/>
        <w:rPr>
          <w:rFonts w:ascii="Open Sans" w:eastAsia="Times New Roman" w:hAnsi="Open Sans" w:cs="Open Sans"/>
          <w:b/>
        </w:rPr>
      </w:pPr>
    </w:p>
    <w:p w:rsidR="00933DEC" w:rsidRPr="00933DEC" w:rsidRDefault="00933DEC" w:rsidP="00933DEC">
      <w:pPr>
        <w:pStyle w:val="ListParagraph"/>
        <w:widowControl w:val="0"/>
        <w:autoSpaceDE w:val="0"/>
        <w:autoSpaceDN w:val="0"/>
        <w:spacing w:after="0" w:line="240" w:lineRule="auto"/>
        <w:jc w:val="both"/>
        <w:rPr>
          <w:rFonts w:eastAsia="Times New Roman" w:cs="Open Sans"/>
        </w:rPr>
      </w:pPr>
      <w:r w:rsidRPr="00933DEC">
        <w:rPr>
          <w:rFonts w:eastAsia="Times New Roman" w:cs="Open Sans"/>
        </w:rPr>
        <w:t xml:space="preserve">The existing MOUs and IFAs should govern the existing LWDAs until October 1, 2018 during the transition period from July 1 through October 1. LWDB’s must work with WIOA partners and the one-stop operator to establish new MOUs and IFAs no later than </w:t>
      </w:r>
      <w:r w:rsidRPr="00933DEC">
        <w:rPr>
          <w:rFonts w:eastAsia="Times New Roman" w:cs="Open Sans"/>
          <w:b/>
          <w:i/>
        </w:rPr>
        <w:t>November 1, 2018</w:t>
      </w:r>
      <w:r w:rsidRPr="00933DEC">
        <w:rPr>
          <w:rFonts w:eastAsia="Times New Roman" w:cs="Open Sans"/>
        </w:rPr>
        <w:t>.</w:t>
      </w:r>
    </w:p>
    <w:p w:rsidR="00933DEC" w:rsidRPr="00933DEC" w:rsidRDefault="00933DEC" w:rsidP="00933DEC">
      <w:pPr>
        <w:pStyle w:val="ListParagraph"/>
        <w:widowControl w:val="0"/>
        <w:autoSpaceDE w:val="0"/>
        <w:autoSpaceDN w:val="0"/>
        <w:spacing w:after="0" w:line="240" w:lineRule="auto"/>
        <w:jc w:val="both"/>
        <w:rPr>
          <w:rFonts w:eastAsia="Times New Roman" w:cs="Open Sans"/>
          <w:b/>
        </w:rPr>
      </w:pPr>
    </w:p>
    <w:p w:rsidR="001F7F2C" w:rsidRDefault="009C1472" w:rsidP="001F7F2C">
      <w:pPr>
        <w:pStyle w:val="ListParagraph"/>
        <w:widowControl w:val="0"/>
        <w:autoSpaceDE w:val="0"/>
        <w:autoSpaceDN w:val="0"/>
        <w:spacing w:after="0" w:line="240" w:lineRule="auto"/>
        <w:ind w:left="1440"/>
        <w:jc w:val="both"/>
        <w:rPr>
          <w:rFonts w:ascii="Open Sans" w:eastAsia="Times New Roman" w:hAnsi="Open Sans" w:cs="Open Sans"/>
          <w:b/>
        </w:rPr>
      </w:pPr>
      <w:hyperlink r:id="rId15" w:history="1">
        <w:r w:rsidR="001F7F2C" w:rsidRPr="007C2F72">
          <w:rPr>
            <w:rStyle w:val="Hyperlink"/>
            <w:rFonts w:ascii="Open Sans" w:eastAsia="Times New Roman" w:hAnsi="Open Sans" w:cs="Open Sans"/>
            <w:b/>
          </w:rPr>
          <w:t>https://www.tn.gov/content/dam/tn/workforce/documents/ProgramManagement/MOU-One-StopServiceDeliveryandInfrastructureAgreement.pdf</w:t>
        </w:r>
      </w:hyperlink>
    </w:p>
    <w:p w:rsidR="001F7F2C" w:rsidRPr="00EB2A20" w:rsidRDefault="001F7F2C" w:rsidP="001F7F2C">
      <w:pPr>
        <w:pStyle w:val="ListParagraph"/>
        <w:widowControl w:val="0"/>
        <w:autoSpaceDE w:val="0"/>
        <w:autoSpaceDN w:val="0"/>
        <w:spacing w:after="0" w:line="240" w:lineRule="auto"/>
        <w:ind w:left="1440"/>
        <w:jc w:val="both"/>
        <w:rPr>
          <w:rFonts w:ascii="Open Sans" w:eastAsia="Times New Roman" w:hAnsi="Open Sans" w:cs="Open Sans"/>
          <w:b/>
        </w:rPr>
      </w:pPr>
    </w:p>
    <w:p w:rsidR="009877AA" w:rsidRDefault="00933DEC" w:rsidP="005C563D">
      <w:pPr>
        <w:pStyle w:val="ListParagraph"/>
        <w:widowControl w:val="0"/>
        <w:numPr>
          <w:ilvl w:val="0"/>
          <w:numId w:val="1"/>
        </w:numPr>
        <w:autoSpaceDE w:val="0"/>
        <w:autoSpaceDN w:val="0"/>
        <w:spacing w:after="0" w:line="240" w:lineRule="auto"/>
        <w:jc w:val="both"/>
        <w:rPr>
          <w:rFonts w:ascii="Open Sans" w:eastAsia="Times New Roman" w:hAnsi="Open Sans" w:cs="Open Sans"/>
          <w:b/>
        </w:rPr>
      </w:pPr>
      <w:r>
        <w:rPr>
          <w:rFonts w:ascii="Open Sans" w:eastAsia="Times New Roman" w:hAnsi="Open Sans" w:cs="Open Sans"/>
          <w:b/>
        </w:rPr>
        <w:t>Eligible Training Provider Lists (</w:t>
      </w:r>
      <w:r w:rsidR="00D45A05">
        <w:rPr>
          <w:rFonts w:ascii="Open Sans" w:eastAsia="Times New Roman" w:hAnsi="Open Sans" w:cs="Open Sans"/>
          <w:b/>
        </w:rPr>
        <w:t>ETPLs</w:t>
      </w:r>
      <w:r>
        <w:rPr>
          <w:rFonts w:ascii="Open Sans" w:eastAsia="Times New Roman" w:hAnsi="Open Sans" w:cs="Open Sans"/>
          <w:b/>
        </w:rPr>
        <w:t>)</w:t>
      </w:r>
      <w:r w:rsidR="00D45A05">
        <w:rPr>
          <w:rFonts w:ascii="Open Sans" w:eastAsia="Times New Roman" w:hAnsi="Open Sans" w:cs="Open Sans"/>
          <w:b/>
        </w:rPr>
        <w:t xml:space="preserve"> must be adopted</w:t>
      </w:r>
      <w:r>
        <w:rPr>
          <w:rFonts w:ascii="Open Sans" w:eastAsia="Times New Roman" w:hAnsi="Open Sans" w:cs="Open Sans"/>
          <w:b/>
        </w:rPr>
        <w:t>:</w:t>
      </w:r>
    </w:p>
    <w:p w:rsidR="00933DEC" w:rsidRDefault="00933DEC" w:rsidP="00933DEC">
      <w:pPr>
        <w:pStyle w:val="ListParagraph"/>
        <w:widowControl w:val="0"/>
        <w:autoSpaceDE w:val="0"/>
        <w:autoSpaceDN w:val="0"/>
        <w:spacing w:after="0" w:line="240" w:lineRule="auto"/>
        <w:jc w:val="both"/>
        <w:rPr>
          <w:rFonts w:ascii="Open Sans" w:eastAsia="Times New Roman" w:hAnsi="Open Sans" w:cs="Open Sans"/>
          <w:b/>
        </w:rPr>
      </w:pPr>
    </w:p>
    <w:p w:rsidR="00933DEC" w:rsidRDefault="00933DEC" w:rsidP="00933DEC">
      <w:pPr>
        <w:pStyle w:val="ListParagraph"/>
        <w:widowControl w:val="0"/>
        <w:autoSpaceDE w:val="0"/>
        <w:autoSpaceDN w:val="0"/>
        <w:spacing w:after="0" w:line="240" w:lineRule="auto"/>
        <w:jc w:val="both"/>
        <w:rPr>
          <w:rFonts w:eastAsia="Times New Roman" w:cs="Open Sans"/>
        </w:rPr>
      </w:pPr>
      <w:r>
        <w:rPr>
          <w:rFonts w:eastAsia="Times New Roman" w:cs="Open Sans"/>
        </w:rPr>
        <w:t>Due to the re-alignment of LWDAs, LWDBs must ensure that they properly adopt updated Eligible Training Provider Lists (ETPL)</w:t>
      </w:r>
      <w:r w:rsidR="000B46A2">
        <w:rPr>
          <w:rFonts w:eastAsia="Times New Roman" w:cs="Open Sans"/>
        </w:rPr>
        <w:t xml:space="preserve"> in adherence to the policy below.  LWDBs must make the updated ETPL for the newly formed LWDA available to the public. </w:t>
      </w:r>
    </w:p>
    <w:p w:rsidR="000B46A2" w:rsidRPr="00933DEC" w:rsidRDefault="000B46A2" w:rsidP="00933DEC">
      <w:pPr>
        <w:pStyle w:val="ListParagraph"/>
        <w:widowControl w:val="0"/>
        <w:autoSpaceDE w:val="0"/>
        <w:autoSpaceDN w:val="0"/>
        <w:spacing w:after="0" w:line="240" w:lineRule="auto"/>
        <w:jc w:val="both"/>
        <w:rPr>
          <w:rFonts w:eastAsia="Times New Roman" w:cs="Open Sans"/>
        </w:rPr>
      </w:pPr>
    </w:p>
    <w:p w:rsidR="001F7F2C" w:rsidRDefault="009C1472" w:rsidP="001F7F2C">
      <w:pPr>
        <w:pStyle w:val="ListParagraph"/>
        <w:widowControl w:val="0"/>
        <w:autoSpaceDE w:val="0"/>
        <w:autoSpaceDN w:val="0"/>
        <w:spacing w:after="0" w:line="240" w:lineRule="auto"/>
        <w:jc w:val="both"/>
        <w:rPr>
          <w:rFonts w:ascii="Open Sans" w:eastAsia="Times New Roman" w:hAnsi="Open Sans" w:cs="Open Sans"/>
          <w:b/>
        </w:rPr>
      </w:pPr>
      <w:hyperlink r:id="rId16" w:history="1">
        <w:r w:rsidR="001F7F2C" w:rsidRPr="007C2F72">
          <w:rPr>
            <w:rStyle w:val="Hyperlink"/>
            <w:rFonts w:ascii="Open Sans" w:eastAsia="Times New Roman" w:hAnsi="Open Sans" w:cs="Open Sans"/>
            <w:b/>
          </w:rPr>
          <w:t>https://www.tn.gov/content/dam/tn/workforce/documents/ProgramManagement/(16-09)%20Workforce%20Services%20Policy%20-%20Eligible%20Training%20Provider%20List.pdf</w:t>
        </w:r>
      </w:hyperlink>
    </w:p>
    <w:p w:rsidR="001F7F2C" w:rsidRDefault="001F7F2C" w:rsidP="001F7F2C">
      <w:pPr>
        <w:pStyle w:val="ListParagraph"/>
        <w:widowControl w:val="0"/>
        <w:autoSpaceDE w:val="0"/>
        <w:autoSpaceDN w:val="0"/>
        <w:spacing w:after="0" w:line="240" w:lineRule="auto"/>
        <w:jc w:val="both"/>
        <w:rPr>
          <w:rFonts w:ascii="Open Sans" w:eastAsia="Times New Roman" w:hAnsi="Open Sans" w:cs="Open Sans"/>
          <w:b/>
        </w:rPr>
      </w:pPr>
    </w:p>
    <w:p w:rsidR="000B46A2" w:rsidRDefault="000B46A2" w:rsidP="001F7F2C">
      <w:pPr>
        <w:pStyle w:val="ListParagraph"/>
        <w:widowControl w:val="0"/>
        <w:autoSpaceDE w:val="0"/>
        <w:autoSpaceDN w:val="0"/>
        <w:spacing w:after="0" w:line="240" w:lineRule="auto"/>
        <w:jc w:val="both"/>
        <w:rPr>
          <w:rFonts w:eastAsia="Times New Roman" w:cs="Open Sans"/>
        </w:rPr>
      </w:pPr>
      <w:r w:rsidRPr="000B46A2">
        <w:rPr>
          <w:rFonts w:eastAsia="Times New Roman" w:cs="Open Sans"/>
          <w:b/>
          <w:u w:val="single"/>
        </w:rPr>
        <w:t>Due Date</w:t>
      </w:r>
      <w:r w:rsidRPr="000B46A2">
        <w:rPr>
          <w:rFonts w:eastAsia="Times New Roman" w:cs="Open Sans"/>
          <w:b/>
        </w:rPr>
        <w:t xml:space="preserve">- </w:t>
      </w:r>
      <w:r w:rsidRPr="00DF42A6">
        <w:rPr>
          <w:rFonts w:eastAsia="Times New Roman" w:cs="Open Sans"/>
          <w:i/>
        </w:rPr>
        <w:t>November 1, 2018</w:t>
      </w:r>
    </w:p>
    <w:p w:rsidR="000B46A2" w:rsidRPr="000B46A2" w:rsidRDefault="000B46A2" w:rsidP="001F7F2C">
      <w:pPr>
        <w:pStyle w:val="ListParagraph"/>
        <w:widowControl w:val="0"/>
        <w:autoSpaceDE w:val="0"/>
        <w:autoSpaceDN w:val="0"/>
        <w:spacing w:after="0" w:line="240" w:lineRule="auto"/>
        <w:jc w:val="both"/>
        <w:rPr>
          <w:rFonts w:eastAsia="Times New Roman" w:cs="Open Sans"/>
          <w:b/>
        </w:rPr>
      </w:pPr>
    </w:p>
    <w:p w:rsidR="009877AA" w:rsidRDefault="00D45A05" w:rsidP="005C563D">
      <w:pPr>
        <w:pStyle w:val="ListParagraph"/>
        <w:widowControl w:val="0"/>
        <w:numPr>
          <w:ilvl w:val="0"/>
          <w:numId w:val="1"/>
        </w:numPr>
        <w:autoSpaceDE w:val="0"/>
        <w:autoSpaceDN w:val="0"/>
        <w:spacing w:after="0" w:line="240" w:lineRule="auto"/>
        <w:jc w:val="both"/>
        <w:rPr>
          <w:rFonts w:ascii="Open Sans" w:eastAsia="Times New Roman" w:hAnsi="Open Sans" w:cs="Open Sans"/>
          <w:b/>
        </w:rPr>
      </w:pPr>
      <w:r>
        <w:rPr>
          <w:rFonts w:ascii="Open Sans" w:eastAsia="Times New Roman" w:hAnsi="Open Sans" w:cs="Open Sans"/>
          <w:b/>
        </w:rPr>
        <w:t>State Workf</w:t>
      </w:r>
      <w:r w:rsidR="00125401">
        <w:rPr>
          <w:rFonts w:ascii="Open Sans" w:eastAsia="Times New Roman" w:hAnsi="Open Sans" w:cs="Open Sans"/>
          <w:b/>
        </w:rPr>
        <w:t>orce Development Board Reviews</w:t>
      </w:r>
      <w:r>
        <w:rPr>
          <w:rFonts w:ascii="Open Sans" w:eastAsia="Times New Roman" w:hAnsi="Open Sans" w:cs="Open Sans"/>
          <w:b/>
        </w:rPr>
        <w:t xml:space="preserve"> the Local Workforce Development Boards</w:t>
      </w:r>
      <w:r w:rsidR="00125401">
        <w:rPr>
          <w:rFonts w:ascii="Open Sans" w:eastAsia="Times New Roman" w:hAnsi="Open Sans" w:cs="Open Sans"/>
          <w:b/>
        </w:rPr>
        <w:t xml:space="preserve"> for initial compliance:</w:t>
      </w:r>
    </w:p>
    <w:p w:rsidR="00125401" w:rsidRDefault="00125401" w:rsidP="00125401">
      <w:pPr>
        <w:pStyle w:val="ListParagraph"/>
        <w:widowControl w:val="0"/>
        <w:autoSpaceDE w:val="0"/>
        <w:autoSpaceDN w:val="0"/>
        <w:spacing w:after="0" w:line="240" w:lineRule="auto"/>
        <w:jc w:val="both"/>
        <w:rPr>
          <w:rFonts w:ascii="Open Sans" w:eastAsia="Times New Roman" w:hAnsi="Open Sans" w:cs="Open Sans"/>
          <w:b/>
        </w:rPr>
      </w:pPr>
    </w:p>
    <w:p w:rsidR="00125401" w:rsidRPr="00125401" w:rsidRDefault="00125401" w:rsidP="00125401">
      <w:pPr>
        <w:pStyle w:val="ListParagraph"/>
        <w:widowControl w:val="0"/>
        <w:autoSpaceDE w:val="0"/>
        <w:autoSpaceDN w:val="0"/>
        <w:spacing w:after="0" w:line="240" w:lineRule="auto"/>
        <w:jc w:val="both"/>
        <w:rPr>
          <w:rFonts w:ascii="Open Sans" w:eastAsia="Times New Roman" w:hAnsi="Open Sans" w:cs="Open Sans"/>
        </w:rPr>
      </w:pPr>
      <w:r>
        <w:rPr>
          <w:rFonts w:ascii="Open Sans" w:eastAsia="Times New Roman" w:hAnsi="Open Sans" w:cs="Open Sans"/>
        </w:rPr>
        <w:t xml:space="preserve">CLEOs and LWDBs must execute the action steps outlined above in accordance with the corresponding due date for each action item.  No later than </w:t>
      </w:r>
      <w:r w:rsidRPr="00DF42A6">
        <w:rPr>
          <w:rFonts w:ascii="Open Sans" w:eastAsia="Times New Roman" w:hAnsi="Open Sans" w:cs="Open Sans"/>
          <w:i/>
        </w:rPr>
        <w:t>December 31, 2018</w:t>
      </w:r>
      <w:r>
        <w:rPr>
          <w:rFonts w:ascii="Open Sans" w:eastAsia="Times New Roman" w:hAnsi="Open Sans" w:cs="Open Sans"/>
        </w:rPr>
        <w:t xml:space="preserve">, the State Workforce Development Board will review each LWDB to ensure that each area has properly established its local workforce system structure to adhere to the re-alignment requirements. </w:t>
      </w:r>
    </w:p>
    <w:p w:rsidR="00EB2A20" w:rsidRPr="00857DAA" w:rsidRDefault="00EB2A20" w:rsidP="005C563D">
      <w:pPr>
        <w:pStyle w:val="ListParagraph"/>
        <w:widowControl w:val="0"/>
        <w:autoSpaceDE w:val="0"/>
        <w:autoSpaceDN w:val="0"/>
        <w:spacing w:after="0" w:line="240" w:lineRule="auto"/>
        <w:jc w:val="both"/>
        <w:rPr>
          <w:rFonts w:ascii="Open Sans" w:eastAsia="Times New Roman" w:hAnsi="Open Sans" w:cs="Open Sans"/>
          <w:b/>
          <w:highlight w:val="yellow"/>
        </w:rPr>
      </w:pPr>
    </w:p>
    <w:p w:rsidR="001E198C" w:rsidRPr="001F6921" w:rsidRDefault="007811BC" w:rsidP="001E198C">
      <w:pPr>
        <w:widowControl w:val="0"/>
        <w:autoSpaceDE w:val="0"/>
        <w:autoSpaceDN w:val="0"/>
        <w:spacing w:after="0" w:line="240" w:lineRule="auto"/>
        <w:jc w:val="both"/>
        <w:rPr>
          <w:rFonts w:ascii="Open Sans" w:eastAsia="Times New Roman" w:hAnsi="Open Sans" w:cs="Open Sans"/>
        </w:rPr>
      </w:pPr>
      <w:r>
        <w:rPr>
          <w:rFonts w:ascii="Open Sans" w:eastAsia="Times New Roman" w:hAnsi="Open Sans" w:cs="Open Sans"/>
          <w:b/>
        </w:rPr>
        <w:t>Contracts and Fiscal Related Activity:</w:t>
      </w:r>
      <w:r w:rsidR="001F6921">
        <w:rPr>
          <w:rFonts w:ascii="Open Sans" w:eastAsia="Times New Roman" w:hAnsi="Open Sans" w:cs="Open Sans"/>
          <w:b/>
        </w:rPr>
        <w:t xml:space="preserve">  </w:t>
      </w:r>
      <w:r w:rsidR="001F6921" w:rsidRPr="001F6921">
        <w:rPr>
          <w:rFonts w:ascii="Open Sans" w:eastAsia="Times New Roman" w:hAnsi="Open Sans" w:cs="Open Sans"/>
        </w:rPr>
        <w:t>In order to prevent disruption of services,</w:t>
      </w:r>
      <w:r w:rsidR="001F6921">
        <w:rPr>
          <w:rFonts w:ascii="Open Sans" w:eastAsia="Times New Roman" w:hAnsi="Open Sans" w:cs="Open Sans"/>
          <w:b/>
        </w:rPr>
        <w:t xml:space="preserve"> </w:t>
      </w:r>
      <w:r w:rsidR="001F6921">
        <w:rPr>
          <w:rFonts w:ascii="Open Sans" w:eastAsia="Times New Roman" w:hAnsi="Open Sans" w:cs="Open Sans"/>
        </w:rPr>
        <w:t>LWDBs and fiscal agents should work with their current one-stop operators and career service providers to extend existing contracts through the transition period until October 1, 2018.  LWDBs and Fiscal Agents should contact the TDLWD Grants and Budget Unit for technical assistance related to the temporary extension of existing contracts to extend services until October 1, 2018.  In the event an LWDB experiences or projects a shortage in funds</w:t>
      </w:r>
      <w:r w:rsidR="00DF42A6">
        <w:rPr>
          <w:rFonts w:ascii="Open Sans" w:eastAsia="Times New Roman" w:hAnsi="Open Sans" w:cs="Open Sans"/>
        </w:rPr>
        <w:t xml:space="preserve">, please contact the TDLWD Grants and Budget Unit to prevent a disruption in services. </w:t>
      </w:r>
    </w:p>
    <w:p w:rsidR="007811BC" w:rsidRDefault="007811BC" w:rsidP="001E198C">
      <w:pPr>
        <w:widowControl w:val="0"/>
        <w:autoSpaceDE w:val="0"/>
        <w:autoSpaceDN w:val="0"/>
        <w:spacing w:after="0" w:line="240" w:lineRule="auto"/>
        <w:jc w:val="both"/>
        <w:rPr>
          <w:rFonts w:ascii="Open Sans" w:eastAsia="Times New Roman" w:hAnsi="Open Sans" w:cs="Open Sans"/>
          <w:b/>
        </w:rPr>
      </w:pPr>
    </w:p>
    <w:p w:rsidR="00DF42A6" w:rsidRDefault="00DF42A6" w:rsidP="001E198C">
      <w:pPr>
        <w:widowControl w:val="0"/>
        <w:autoSpaceDE w:val="0"/>
        <w:autoSpaceDN w:val="0"/>
        <w:spacing w:after="0" w:line="240" w:lineRule="auto"/>
        <w:jc w:val="both"/>
        <w:rPr>
          <w:rFonts w:ascii="Open Sans" w:eastAsia="Times New Roman" w:hAnsi="Open Sans" w:cs="Open Sans"/>
          <w:b/>
        </w:rPr>
      </w:pPr>
    </w:p>
    <w:p w:rsidR="009877AA" w:rsidRPr="001E198C" w:rsidRDefault="009877AA" w:rsidP="001E198C">
      <w:pPr>
        <w:widowControl w:val="0"/>
        <w:autoSpaceDE w:val="0"/>
        <w:autoSpaceDN w:val="0"/>
        <w:spacing w:after="0" w:line="240" w:lineRule="auto"/>
        <w:jc w:val="both"/>
        <w:rPr>
          <w:rFonts w:ascii="Open Sans" w:eastAsia="Times New Roman" w:hAnsi="Open Sans" w:cs="Open Sans"/>
        </w:rPr>
      </w:pPr>
      <w:r w:rsidRPr="001E198C">
        <w:rPr>
          <w:rFonts w:ascii="Open Sans" w:eastAsia="Times New Roman" w:hAnsi="Open Sans" w:cs="Open Sans"/>
          <w:b/>
        </w:rPr>
        <w:t>Effective Date:</w:t>
      </w:r>
      <w:r w:rsidR="009255D5">
        <w:rPr>
          <w:rFonts w:ascii="Open Sans" w:eastAsia="Times New Roman" w:hAnsi="Open Sans" w:cs="Open Sans"/>
          <w:b/>
        </w:rPr>
        <w:t xml:space="preserve"> </w:t>
      </w:r>
      <w:r w:rsidR="007811BC">
        <w:rPr>
          <w:rFonts w:ascii="Open Sans" w:eastAsia="Times New Roman" w:hAnsi="Open Sans" w:cs="Open Sans"/>
        </w:rPr>
        <w:t>May 17</w:t>
      </w:r>
      <w:r w:rsidR="009255D5" w:rsidRPr="009255D5">
        <w:rPr>
          <w:rFonts w:ascii="Open Sans" w:eastAsia="Times New Roman" w:hAnsi="Open Sans" w:cs="Open Sans"/>
        </w:rPr>
        <w:t>, 2018</w:t>
      </w:r>
    </w:p>
    <w:p w:rsidR="001E198C" w:rsidRDefault="001E198C" w:rsidP="005C563D">
      <w:pPr>
        <w:widowControl w:val="0"/>
        <w:autoSpaceDE w:val="0"/>
        <w:autoSpaceDN w:val="0"/>
        <w:spacing w:before="7" w:after="0" w:line="240" w:lineRule="auto"/>
        <w:jc w:val="both"/>
        <w:rPr>
          <w:rFonts w:ascii="Open Sans" w:eastAsia="Times New Roman" w:hAnsi="Open Sans" w:cs="Open Sans"/>
          <w:b/>
        </w:rPr>
      </w:pPr>
    </w:p>
    <w:p w:rsidR="00987B8A" w:rsidRPr="009373B2" w:rsidRDefault="00987B8A" w:rsidP="005C563D">
      <w:pPr>
        <w:widowControl w:val="0"/>
        <w:autoSpaceDE w:val="0"/>
        <w:autoSpaceDN w:val="0"/>
        <w:spacing w:before="7" w:after="0" w:line="240" w:lineRule="auto"/>
        <w:jc w:val="both"/>
        <w:rPr>
          <w:rFonts w:ascii="Open Sans" w:eastAsia="Times New Roman" w:hAnsi="Open Sans" w:cs="Open Sans"/>
          <w:b/>
        </w:rPr>
      </w:pPr>
      <w:r w:rsidRPr="009373B2">
        <w:rPr>
          <w:rFonts w:ascii="Open Sans" w:eastAsia="Times New Roman" w:hAnsi="Open Sans" w:cs="Open Sans"/>
          <w:b/>
        </w:rPr>
        <w:t xml:space="preserve">Duration: </w:t>
      </w:r>
      <w:r w:rsidRPr="001E198C">
        <w:rPr>
          <w:rFonts w:ascii="Open Sans" w:eastAsia="Times New Roman" w:hAnsi="Open Sans" w:cs="Open Sans"/>
        </w:rPr>
        <w:t>Indefinite</w:t>
      </w:r>
    </w:p>
    <w:p w:rsidR="009373B2" w:rsidRPr="00A8387C" w:rsidRDefault="009373B2" w:rsidP="005C563D">
      <w:pPr>
        <w:widowControl w:val="0"/>
        <w:autoSpaceDE w:val="0"/>
        <w:autoSpaceDN w:val="0"/>
        <w:spacing w:after="0" w:line="240" w:lineRule="auto"/>
        <w:jc w:val="both"/>
        <w:rPr>
          <w:rFonts w:ascii="Open Sans" w:eastAsia="Times New Roman" w:hAnsi="Open Sans" w:cs="Open Sans"/>
          <w:b/>
          <w:bCs/>
          <w:u w:val="single"/>
        </w:rPr>
      </w:pPr>
    </w:p>
    <w:p w:rsidR="001E198C" w:rsidRDefault="001E198C" w:rsidP="001E198C">
      <w:pPr>
        <w:spacing w:line="240" w:lineRule="auto"/>
        <w:contextualSpacing/>
        <w:jc w:val="both"/>
        <w:rPr>
          <w:rFonts w:ascii="Open Sans" w:hAnsi="Open Sans" w:cs="Open Sans"/>
          <w:b/>
        </w:rPr>
      </w:pPr>
      <w:r>
        <w:rPr>
          <w:rFonts w:ascii="Open Sans" w:hAnsi="Open Sans" w:cs="Open Sans"/>
          <w:b/>
        </w:rPr>
        <w:t>Contact:</w:t>
      </w:r>
    </w:p>
    <w:p w:rsidR="001E198C" w:rsidRPr="001E198C" w:rsidRDefault="001E198C" w:rsidP="001E198C">
      <w:pPr>
        <w:spacing w:line="240" w:lineRule="auto"/>
        <w:contextualSpacing/>
        <w:jc w:val="both"/>
        <w:rPr>
          <w:rFonts w:ascii="Open Sans" w:hAnsi="Open Sans" w:cs="Open Sans"/>
          <w:b/>
          <w:color w:val="FF0000"/>
        </w:rPr>
      </w:pPr>
      <w:r w:rsidRPr="00494DBA">
        <w:rPr>
          <w:rFonts w:ascii="Open Sans" w:hAnsi="Open Sans" w:cs="Open Sans"/>
        </w:rPr>
        <w:t xml:space="preserve">For questions regarding this policy contact Nicholas Bishop, Director of Compliance and Policy-Division of Workforce Services, at (615) 741-0286 or </w:t>
      </w:r>
      <w:hyperlink r:id="rId17">
        <w:r w:rsidRPr="00494DBA">
          <w:rPr>
            <w:rFonts w:ascii="Open Sans" w:hAnsi="Open Sans" w:cs="Open Sans"/>
          </w:rPr>
          <w:t>Nicholas.Bishop@tn.gov</w:t>
        </w:r>
      </w:hyperlink>
      <w:r>
        <w:rPr>
          <w:rFonts w:ascii="Open Sans" w:hAnsi="Open Sans" w:cs="Open Sans"/>
        </w:rPr>
        <w:t>.</w:t>
      </w:r>
    </w:p>
    <w:p w:rsidR="00A8387C" w:rsidRPr="00916D3F" w:rsidRDefault="00A8387C" w:rsidP="00A8387C">
      <w:pPr>
        <w:spacing w:before="91"/>
        <w:jc w:val="both"/>
        <w:rPr>
          <w:rFonts w:ascii="Open Sans" w:hAnsi="Open Sans" w:cs="Open Sans"/>
          <w:b/>
        </w:rPr>
      </w:pPr>
    </w:p>
    <w:p w:rsidR="00A8387C" w:rsidRPr="00916D3F" w:rsidRDefault="00A8387C" w:rsidP="00A8387C">
      <w:pPr>
        <w:pStyle w:val="BodyText"/>
        <w:spacing w:before="202"/>
        <w:jc w:val="both"/>
        <w:rPr>
          <w:rFonts w:ascii="Open Sans" w:hAnsi="Open Sans" w:cs="Open Sans"/>
        </w:rPr>
      </w:pP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r>
      <w:r w:rsidRPr="00916D3F">
        <w:rPr>
          <w:rFonts w:ascii="Open Sans" w:hAnsi="Open Sans" w:cs="Open Sans"/>
        </w:rPr>
        <w:softHyphen/>
        <w:t>_____________________________________________________</w:t>
      </w:r>
    </w:p>
    <w:p w:rsidR="009373B2" w:rsidRPr="00A8387C" w:rsidRDefault="006C6FF3" w:rsidP="00A8387C">
      <w:pPr>
        <w:pStyle w:val="BodyText"/>
        <w:spacing w:before="202"/>
        <w:jc w:val="both"/>
        <w:rPr>
          <w:rFonts w:ascii="Open Sans" w:hAnsi="Open Sans" w:cs="Open Sans"/>
        </w:rPr>
      </w:pPr>
      <w:r>
        <w:rPr>
          <w:rFonts w:ascii="Open Sans" w:hAnsi="Open Sans" w:cs="Open Sans"/>
        </w:rPr>
        <w:t>Deniece Thomas</w:t>
      </w:r>
      <w:r w:rsidR="00A8387C" w:rsidRPr="00916D3F">
        <w:rPr>
          <w:rFonts w:ascii="Open Sans" w:hAnsi="Open Sans" w:cs="Open Sans"/>
        </w:rPr>
        <w:t xml:space="preserve">, </w:t>
      </w:r>
      <w:r>
        <w:rPr>
          <w:rFonts w:ascii="Open Sans" w:hAnsi="Open Sans" w:cs="Open Sans"/>
        </w:rPr>
        <w:t>Assistant Commissioner -</w:t>
      </w:r>
      <w:r w:rsidR="00A8387C" w:rsidRPr="00916D3F">
        <w:rPr>
          <w:rFonts w:ascii="Open Sans" w:hAnsi="Open Sans" w:cs="Open Sans"/>
        </w:rPr>
        <w:t xml:space="preserve"> Workforce Services</w:t>
      </w:r>
      <w:r>
        <w:rPr>
          <w:rFonts w:ascii="Open Sans" w:hAnsi="Open Sans" w:cs="Open Sans"/>
        </w:rPr>
        <w:t xml:space="preserve"> Division</w:t>
      </w:r>
    </w:p>
    <w:sectPr w:rsidR="009373B2" w:rsidRPr="00A8387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2B8" w:rsidRDefault="007222B8" w:rsidP="00D034A3">
      <w:pPr>
        <w:spacing w:after="0" w:line="240" w:lineRule="auto"/>
      </w:pPr>
      <w:r>
        <w:separator/>
      </w:r>
    </w:p>
  </w:endnote>
  <w:endnote w:type="continuationSeparator" w:id="0">
    <w:p w:rsidR="007222B8" w:rsidRDefault="007222B8" w:rsidP="00D0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auto"/>
    <w:pitch w:val="variable"/>
    <w:sig w:usb0="00000003" w:usb1="00000000" w:usb2="00000000" w:usb3="00000000" w:csb0="00000001" w:csb1="00000000"/>
  </w:font>
  <w:font w:name="Open Sans">
    <w:panose1 w:val="020B06060305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E7FDA" w:rsidRDefault="008E7F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238609"/>
      <w:docPartObj>
        <w:docPartGallery w:val="Page Numbers (Bottom of Page)"/>
        <w:docPartUnique/>
      </w:docPartObj>
    </w:sdtPr>
    <w:sdtEndPr>
      <w:rPr>
        <w:noProof/>
      </w:rPr>
    </w:sdtEndPr>
    <w:sdtContent>
      <w:p w:rsidR="00D034A3" w:rsidRDefault="00D034A3">
        <w:pPr>
          <w:pStyle w:val="Footer"/>
          <w:jc w:val="center"/>
        </w:pPr>
        <w:r>
          <w:fldChar w:fldCharType="begin"/>
        </w:r>
        <w:r>
          <w:instrText xml:space="preserve"> PAGE   \* MERGEFORMAT </w:instrText>
        </w:r>
        <w:r>
          <w:fldChar w:fldCharType="separate"/>
        </w:r>
        <w:r w:rsidR="009C1472">
          <w:rPr>
            <w:noProof/>
          </w:rPr>
          <w:t>6</w:t>
        </w:r>
        <w:r>
          <w:rPr>
            <w:noProof/>
          </w:rPr>
          <w:fldChar w:fldCharType="end"/>
        </w:r>
      </w:p>
    </w:sdtContent>
  </w:sdt>
  <w:p w:rsidR="00D034A3" w:rsidRDefault="00D034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E7FDA" w:rsidRDefault="008E7F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2B8" w:rsidRDefault="007222B8" w:rsidP="00D034A3">
      <w:pPr>
        <w:spacing w:after="0" w:line="240" w:lineRule="auto"/>
      </w:pPr>
      <w:r>
        <w:separator/>
      </w:r>
    </w:p>
  </w:footnote>
  <w:footnote w:type="continuationSeparator" w:id="0">
    <w:p w:rsidR="007222B8" w:rsidRDefault="007222B8" w:rsidP="00D034A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E7FDA" w:rsidRDefault="008E7F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00387538"/>
      <w:docPartObj>
        <w:docPartGallery w:val="Watermarks"/>
        <w:docPartUnique/>
      </w:docPartObj>
    </w:sdtPr>
    <w:sdtEndPr/>
    <w:sdtContent>
      <w:p w:rsidR="008E7FDA" w:rsidRDefault="009C1472">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E7FDA" w:rsidRDefault="008E7F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1E8B"/>
    <w:multiLevelType w:val="hybridMultilevel"/>
    <w:tmpl w:val="D924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8D78CC"/>
    <w:multiLevelType w:val="hybridMultilevel"/>
    <w:tmpl w:val="1068AE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6C7FD9"/>
    <w:multiLevelType w:val="hybridMultilevel"/>
    <w:tmpl w:val="9150257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B02F9"/>
    <w:multiLevelType w:val="hybridMultilevel"/>
    <w:tmpl w:val="66A68C7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4C2871"/>
    <w:multiLevelType w:val="hybridMultilevel"/>
    <w:tmpl w:val="8518879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0F2A3D"/>
    <w:multiLevelType w:val="hybridMultilevel"/>
    <w:tmpl w:val="572A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23354C"/>
    <w:multiLevelType w:val="hybridMultilevel"/>
    <w:tmpl w:val="C520EDC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4DFE9AF0">
      <w:start w:val="6"/>
      <w:numFmt w:val="upperLetter"/>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E1A7F"/>
    <w:multiLevelType w:val="hybridMultilevel"/>
    <w:tmpl w:val="BF38655A"/>
    <w:lvl w:ilvl="0" w:tplc="04090015">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9262849"/>
    <w:multiLevelType w:val="hybridMultilevel"/>
    <w:tmpl w:val="57DACCDA"/>
    <w:lvl w:ilvl="0" w:tplc="5AE2E47E">
      <w:start w:val="1"/>
      <w:numFmt w:val="bullet"/>
      <w:lvlText w:val="•"/>
      <w:lvlJc w:val="left"/>
      <w:pPr>
        <w:tabs>
          <w:tab w:val="num" w:pos="720"/>
        </w:tabs>
        <w:ind w:left="720" w:hanging="360"/>
      </w:pPr>
      <w:rPr>
        <w:rFonts w:ascii="Arial" w:hAnsi="Arial" w:hint="default"/>
      </w:rPr>
    </w:lvl>
    <w:lvl w:ilvl="1" w:tplc="3754F626" w:tentative="1">
      <w:start w:val="1"/>
      <w:numFmt w:val="bullet"/>
      <w:lvlText w:val="•"/>
      <w:lvlJc w:val="left"/>
      <w:pPr>
        <w:tabs>
          <w:tab w:val="num" w:pos="1440"/>
        </w:tabs>
        <w:ind w:left="1440" w:hanging="360"/>
      </w:pPr>
      <w:rPr>
        <w:rFonts w:ascii="Arial" w:hAnsi="Arial" w:hint="default"/>
      </w:rPr>
    </w:lvl>
    <w:lvl w:ilvl="2" w:tplc="B1940A0E" w:tentative="1">
      <w:start w:val="1"/>
      <w:numFmt w:val="bullet"/>
      <w:lvlText w:val="•"/>
      <w:lvlJc w:val="left"/>
      <w:pPr>
        <w:tabs>
          <w:tab w:val="num" w:pos="2160"/>
        </w:tabs>
        <w:ind w:left="2160" w:hanging="360"/>
      </w:pPr>
      <w:rPr>
        <w:rFonts w:ascii="Arial" w:hAnsi="Arial" w:hint="default"/>
      </w:rPr>
    </w:lvl>
    <w:lvl w:ilvl="3" w:tplc="1C7631B6" w:tentative="1">
      <w:start w:val="1"/>
      <w:numFmt w:val="bullet"/>
      <w:lvlText w:val="•"/>
      <w:lvlJc w:val="left"/>
      <w:pPr>
        <w:tabs>
          <w:tab w:val="num" w:pos="2880"/>
        </w:tabs>
        <w:ind w:left="2880" w:hanging="360"/>
      </w:pPr>
      <w:rPr>
        <w:rFonts w:ascii="Arial" w:hAnsi="Arial" w:hint="default"/>
      </w:rPr>
    </w:lvl>
    <w:lvl w:ilvl="4" w:tplc="931C0CF8" w:tentative="1">
      <w:start w:val="1"/>
      <w:numFmt w:val="bullet"/>
      <w:lvlText w:val="•"/>
      <w:lvlJc w:val="left"/>
      <w:pPr>
        <w:tabs>
          <w:tab w:val="num" w:pos="3600"/>
        </w:tabs>
        <w:ind w:left="3600" w:hanging="360"/>
      </w:pPr>
      <w:rPr>
        <w:rFonts w:ascii="Arial" w:hAnsi="Arial" w:hint="default"/>
      </w:rPr>
    </w:lvl>
    <w:lvl w:ilvl="5" w:tplc="003072EA" w:tentative="1">
      <w:start w:val="1"/>
      <w:numFmt w:val="bullet"/>
      <w:lvlText w:val="•"/>
      <w:lvlJc w:val="left"/>
      <w:pPr>
        <w:tabs>
          <w:tab w:val="num" w:pos="4320"/>
        </w:tabs>
        <w:ind w:left="4320" w:hanging="360"/>
      </w:pPr>
      <w:rPr>
        <w:rFonts w:ascii="Arial" w:hAnsi="Arial" w:hint="default"/>
      </w:rPr>
    </w:lvl>
    <w:lvl w:ilvl="6" w:tplc="F5BEFE58" w:tentative="1">
      <w:start w:val="1"/>
      <w:numFmt w:val="bullet"/>
      <w:lvlText w:val="•"/>
      <w:lvlJc w:val="left"/>
      <w:pPr>
        <w:tabs>
          <w:tab w:val="num" w:pos="5040"/>
        </w:tabs>
        <w:ind w:left="5040" w:hanging="360"/>
      </w:pPr>
      <w:rPr>
        <w:rFonts w:ascii="Arial" w:hAnsi="Arial" w:hint="default"/>
      </w:rPr>
    </w:lvl>
    <w:lvl w:ilvl="7" w:tplc="2B9ED540" w:tentative="1">
      <w:start w:val="1"/>
      <w:numFmt w:val="bullet"/>
      <w:lvlText w:val="•"/>
      <w:lvlJc w:val="left"/>
      <w:pPr>
        <w:tabs>
          <w:tab w:val="num" w:pos="5760"/>
        </w:tabs>
        <w:ind w:left="5760" w:hanging="360"/>
      </w:pPr>
      <w:rPr>
        <w:rFonts w:ascii="Arial" w:hAnsi="Arial" w:hint="default"/>
      </w:rPr>
    </w:lvl>
    <w:lvl w:ilvl="8" w:tplc="AD16A94C" w:tentative="1">
      <w:start w:val="1"/>
      <w:numFmt w:val="bullet"/>
      <w:lvlText w:val="•"/>
      <w:lvlJc w:val="left"/>
      <w:pPr>
        <w:tabs>
          <w:tab w:val="num" w:pos="6480"/>
        </w:tabs>
        <w:ind w:left="6480" w:hanging="360"/>
      </w:pPr>
      <w:rPr>
        <w:rFonts w:ascii="Arial" w:hAnsi="Arial" w:hint="default"/>
      </w:rPr>
    </w:lvl>
  </w:abstractNum>
  <w:abstractNum w:abstractNumId="9">
    <w:nsid w:val="3A116A90"/>
    <w:multiLevelType w:val="hybridMultilevel"/>
    <w:tmpl w:val="B6FC628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4DFE9AF0">
      <w:start w:val="6"/>
      <w:numFmt w:val="upperLetter"/>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74468"/>
    <w:multiLevelType w:val="hybridMultilevel"/>
    <w:tmpl w:val="F83806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AF7ACC"/>
    <w:multiLevelType w:val="hybridMultilevel"/>
    <w:tmpl w:val="818C75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5107D2"/>
    <w:multiLevelType w:val="hybridMultilevel"/>
    <w:tmpl w:val="03B69B76"/>
    <w:lvl w:ilvl="0" w:tplc="81A63D88">
      <w:start w:val="1"/>
      <w:numFmt w:val="decimal"/>
      <w:lvlText w:val="%1."/>
      <w:lvlJc w:val="left"/>
      <w:pPr>
        <w:ind w:left="1080" w:hanging="360"/>
      </w:pPr>
      <w:rPr>
        <w:rFonts w:eastAsiaTheme="minorHAns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541F17"/>
    <w:multiLevelType w:val="hybridMultilevel"/>
    <w:tmpl w:val="3404E29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EA43C8"/>
    <w:multiLevelType w:val="hybridMultilevel"/>
    <w:tmpl w:val="2124B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805C64"/>
    <w:multiLevelType w:val="hybridMultilevel"/>
    <w:tmpl w:val="9A403916"/>
    <w:lvl w:ilvl="0" w:tplc="4E269E9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AFD6BB8"/>
    <w:multiLevelType w:val="hybridMultilevel"/>
    <w:tmpl w:val="75CC8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4153F9"/>
    <w:multiLevelType w:val="hybridMultilevel"/>
    <w:tmpl w:val="A3685C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4DFE9AF0">
      <w:start w:val="6"/>
      <w:numFmt w:val="upperLetter"/>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A44068"/>
    <w:multiLevelType w:val="hybridMultilevel"/>
    <w:tmpl w:val="13448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B655210"/>
    <w:multiLevelType w:val="hybridMultilevel"/>
    <w:tmpl w:val="E6168A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B706DF4"/>
    <w:multiLevelType w:val="hybridMultilevel"/>
    <w:tmpl w:val="E6A2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FB3487"/>
    <w:multiLevelType w:val="hybridMultilevel"/>
    <w:tmpl w:val="A228508A"/>
    <w:lvl w:ilvl="0" w:tplc="04090011">
      <w:start w:val="1"/>
      <w:numFmt w:val="decimal"/>
      <w:lvlText w:val="%1)"/>
      <w:lvlJc w:val="left"/>
      <w:pPr>
        <w:ind w:left="1440" w:hanging="360"/>
      </w:pPr>
    </w:lvl>
    <w:lvl w:ilvl="1" w:tplc="0409000F">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2B2B2A"/>
    <w:multiLevelType w:val="hybridMultilevel"/>
    <w:tmpl w:val="2764878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CC51B8"/>
    <w:multiLevelType w:val="hybridMultilevel"/>
    <w:tmpl w:val="A54272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3DB5E9F"/>
    <w:multiLevelType w:val="hybridMultilevel"/>
    <w:tmpl w:val="9418C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6E63738"/>
    <w:multiLevelType w:val="hybridMultilevel"/>
    <w:tmpl w:val="53F090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2"/>
  </w:num>
  <w:num w:numId="3">
    <w:abstractNumId w:val="21"/>
  </w:num>
  <w:num w:numId="4">
    <w:abstractNumId w:val="9"/>
  </w:num>
  <w:num w:numId="5">
    <w:abstractNumId w:val="5"/>
  </w:num>
  <w:num w:numId="6">
    <w:abstractNumId w:val="7"/>
  </w:num>
  <w:num w:numId="7">
    <w:abstractNumId w:val="14"/>
  </w:num>
  <w:num w:numId="8">
    <w:abstractNumId w:val="13"/>
  </w:num>
  <w:num w:numId="9">
    <w:abstractNumId w:val="6"/>
  </w:num>
  <w:num w:numId="10">
    <w:abstractNumId w:val="17"/>
  </w:num>
  <w:num w:numId="11">
    <w:abstractNumId w:val="8"/>
  </w:num>
  <w:num w:numId="12">
    <w:abstractNumId w:val="0"/>
  </w:num>
  <w:num w:numId="13">
    <w:abstractNumId w:val="3"/>
  </w:num>
  <w:num w:numId="14">
    <w:abstractNumId w:val="23"/>
  </w:num>
  <w:num w:numId="15">
    <w:abstractNumId w:val="15"/>
  </w:num>
  <w:num w:numId="16">
    <w:abstractNumId w:val="25"/>
  </w:num>
  <w:num w:numId="17">
    <w:abstractNumId w:val="10"/>
  </w:num>
  <w:num w:numId="18">
    <w:abstractNumId w:val="22"/>
  </w:num>
  <w:num w:numId="19">
    <w:abstractNumId w:val="19"/>
  </w:num>
  <w:num w:numId="20">
    <w:abstractNumId w:val="18"/>
  </w:num>
  <w:num w:numId="21">
    <w:abstractNumId w:val="1"/>
  </w:num>
  <w:num w:numId="22">
    <w:abstractNumId w:val="4"/>
  </w:num>
  <w:num w:numId="23">
    <w:abstractNumId w:val="20"/>
  </w:num>
  <w:num w:numId="24">
    <w:abstractNumId w:val="24"/>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B2"/>
    <w:rsid w:val="00030F08"/>
    <w:rsid w:val="0003171B"/>
    <w:rsid w:val="000448F9"/>
    <w:rsid w:val="000A00F7"/>
    <w:rsid w:val="000B0A34"/>
    <w:rsid w:val="000B46A2"/>
    <w:rsid w:val="000C0986"/>
    <w:rsid w:val="000F2134"/>
    <w:rsid w:val="00123000"/>
    <w:rsid w:val="00125401"/>
    <w:rsid w:val="00145DC9"/>
    <w:rsid w:val="00150F57"/>
    <w:rsid w:val="00166A19"/>
    <w:rsid w:val="00192AED"/>
    <w:rsid w:val="001A69FC"/>
    <w:rsid w:val="001A7C3D"/>
    <w:rsid w:val="001B0EFD"/>
    <w:rsid w:val="001E0CF7"/>
    <w:rsid w:val="001E198C"/>
    <w:rsid w:val="001F6921"/>
    <w:rsid w:val="001F7F2C"/>
    <w:rsid w:val="0022229A"/>
    <w:rsid w:val="002772B7"/>
    <w:rsid w:val="002A2B87"/>
    <w:rsid w:val="002A4B85"/>
    <w:rsid w:val="002C499C"/>
    <w:rsid w:val="00321F64"/>
    <w:rsid w:val="003350D3"/>
    <w:rsid w:val="00335E7E"/>
    <w:rsid w:val="00346006"/>
    <w:rsid w:val="00395A86"/>
    <w:rsid w:val="003D634E"/>
    <w:rsid w:val="003E2EB4"/>
    <w:rsid w:val="004070E4"/>
    <w:rsid w:val="00407CE7"/>
    <w:rsid w:val="004504DA"/>
    <w:rsid w:val="0047740C"/>
    <w:rsid w:val="004B5554"/>
    <w:rsid w:val="004D07B1"/>
    <w:rsid w:val="00504F36"/>
    <w:rsid w:val="00532778"/>
    <w:rsid w:val="0054733C"/>
    <w:rsid w:val="00556414"/>
    <w:rsid w:val="0057568B"/>
    <w:rsid w:val="00590E05"/>
    <w:rsid w:val="005C563D"/>
    <w:rsid w:val="005F2EEA"/>
    <w:rsid w:val="00617CAD"/>
    <w:rsid w:val="00621F3F"/>
    <w:rsid w:val="006463FE"/>
    <w:rsid w:val="006527EE"/>
    <w:rsid w:val="00654483"/>
    <w:rsid w:val="00655E18"/>
    <w:rsid w:val="00656305"/>
    <w:rsid w:val="00664402"/>
    <w:rsid w:val="006742B9"/>
    <w:rsid w:val="00693BBC"/>
    <w:rsid w:val="006A2CBC"/>
    <w:rsid w:val="006B6C4C"/>
    <w:rsid w:val="006C2681"/>
    <w:rsid w:val="006C588D"/>
    <w:rsid w:val="006C6FF3"/>
    <w:rsid w:val="006D2E24"/>
    <w:rsid w:val="006E275D"/>
    <w:rsid w:val="00712B2F"/>
    <w:rsid w:val="00715F86"/>
    <w:rsid w:val="007222B8"/>
    <w:rsid w:val="00731549"/>
    <w:rsid w:val="00746CEE"/>
    <w:rsid w:val="007811BC"/>
    <w:rsid w:val="00782C33"/>
    <w:rsid w:val="007B2FA1"/>
    <w:rsid w:val="007E16B1"/>
    <w:rsid w:val="008054B0"/>
    <w:rsid w:val="008572BC"/>
    <w:rsid w:val="00857DAA"/>
    <w:rsid w:val="00877DF0"/>
    <w:rsid w:val="008944FD"/>
    <w:rsid w:val="008A5E8A"/>
    <w:rsid w:val="008C2D53"/>
    <w:rsid w:val="008C3A76"/>
    <w:rsid w:val="008D12F2"/>
    <w:rsid w:val="008D59AE"/>
    <w:rsid w:val="008E1C20"/>
    <w:rsid w:val="008E287C"/>
    <w:rsid w:val="008E7FDA"/>
    <w:rsid w:val="00911F8E"/>
    <w:rsid w:val="009255D5"/>
    <w:rsid w:val="00933DEC"/>
    <w:rsid w:val="009348B2"/>
    <w:rsid w:val="00935372"/>
    <w:rsid w:val="009373B2"/>
    <w:rsid w:val="009727A0"/>
    <w:rsid w:val="0098219D"/>
    <w:rsid w:val="009877AA"/>
    <w:rsid w:val="00987B8A"/>
    <w:rsid w:val="009A789C"/>
    <w:rsid w:val="009C1472"/>
    <w:rsid w:val="009C1E5B"/>
    <w:rsid w:val="009D5E5E"/>
    <w:rsid w:val="009D6B5F"/>
    <w:rsid w:val="009D792F"/>
    <w:rsid w:val="009E0EB1"/>
    <w:rsid w:val="009E2E83"/>
    <w:rsid w:val="009F1804"/>
    <w:rsid w:val="009F629E"/>
    <w:rsid w:val="00A037AB"/>
    <w:rsid w:val="00A236AE"/>
    <w:rsid w:val="00A32981"/>
    <w:rsid w:val="00A36781"/>
    <w:rsid w:val="00A6608E"/>
    <w:rsid w:val="00A8387C"/>
    <w:rsid w:val="00A85667"/>
    <w:rsid w:val="00AB0BB6"/>
    <w:rsid w:val="00AD1BD5"/>
    <w:rsid w:val="00AD62D9"/>
    <w:rsid w:val="00AE26B2"/>
    <w:rsid w:val="00B05B16"/>
    <w:rsid w:val="00B05C33"/>
    <w:rsid w:val="00B21322"/>
    <w:rsid w:val="00B47AB9"/>
    <w:rsid w:val="00BA1AD2"/>
    <w:rsid w:val="00BA33A4"/>
    <w:rsid w:val="00BA6C09"/>
    <w:rsid w:val="00BD32FC"/>
    <w:rsid w:val="00BF63AE"/>
    <w:rsid w:val="00C16BAA"/>
    <w:rsid w:val="00C20CF6"/>
    <w:rsid w:val="00C21E90"/>
    <w:rsid w:val="00C42223"/>
    <w:rsid w:val="00C7746C"/>
    <w:rsid w:val="00C837A3"/>
    <w:rsid w:val="00CB3F16"/>
    <w:rsid w:val="00CB4E4C"/>
    <w:rsid w:val="00CC0F20"/>
    <w:rsid w:val="00CD1942"/>
    <w:rsid w:val="00CE7E73"/>
    <w:rsid w:val="00CF12FE"/>
    <w:rsid w:val="00D00F65"/>
    <w:rsid w:val="00D0105E"/>
    <w:rsid w:val="00D034A3"/>
    <w:rsid w:val="00D06838"/>
    <w:rsid w:val="00D36F2F"/>
    <w:rsid w:val="00D45A05"/>
    <w:rsid w:val="00D641B4"/>
    <w:rsid w:val="00D70F00"/>
    <w:rsid w:val="00D74C1B"/>
    <w:rsid w:val="00D82275"/>
    <w:rsid w:val="00DA4891"/>
    <w:rsid w:val="00DA6A6A"/>
    <w:rsid w:val="00DB1967"/>
    <w:rsid w:val="00DD7B92"/>
    <w:rsid w:val="00DF42A6"/>
    <w:rsid w:val="00E1048B"/>
    <w:rsid w:val="00E34C99"/>
    <w:rsid w:val="00E535A3"/>
    <w:rsid w:val="00E565C6"/>
    <w:rsid w:val="00EB2A20"/>
    <w:rsid w:val="00ED45A8"/>
    <w:rsid w:val="00ED5040"/>
    <w:rsid w:val="00EE2A7E"/>
    <w:rsid w:val="00F07446"/>
    <w:rsid w:val="00F167B5"/>
    <w:rsid w:val="00F3668C"/>
    <w:rsid w:val="00F91C1C"/>
    <w:rsid w:val="00F95E25"/>
    <w:rsid w:val="00FA75E0"/>
    <w:rsid w:val="00FB1BAF"/>
    <w:rsid w:val="00FB797B"/>
    <w:rsid w:val="00FC365D"/>
    <w:rsid w:val="00FC4983"/>
    <w:rsid w:val="00FD45A4"/>
    <w:rsid w:val="00FE5A06"/>
    <w:rsid w:val="00FF4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semiHidden/>
    <w:unhideWhenUsed/>
    <w:qFormat/>
    <w:rsid w:val="00AB0BB6"/>
    <w:pPr>
      <w:widowControl w:val="0"/>
      <w:autoSpaceDE w:val="0"/>
      <w:autoSpaceDN w:val="0"/>
      <w:spacing w:after="0" w:line="250" w:lineRule="exact"/>
      <w:ind w:left="114"/>
      <w:jc w:val="both"/>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B2"/>
    <w:rPr>
      <w:rFonts w:ascii="Tahoma" w:hAnsi="Tahoma" w:cs="Tahoma"/>
      <w:sz w:val="16"/>
      <w:szCs w:val="16"/>
    </w:rPr>
  </w:style>
  <w:style w:type="paragraph" w:styleId="ListParagraph">
    <w:name w:val="List Paragraph"/>
    <w:basedOn w:val="Normal"/>
    <w:uiPriority w:val="34"/>
    <w:qFormat/>
    <w:rsid w:val="009373B2"/>
    <w:pPr>
      <w:ind w:left="720"/>
      <w:contextualSpacing/>
    </w:pPr>
  </w:style>
  <w:style w:type="paragraph" w:styleId="Header">
    <w:name w:val="header"/>
    <w:basedOn w:val="Normal"/>
    <w:link w:val="HeaderChar"/>
    <w:uiPriority w:val="99"/>
    <w:unhideWhenUsed/>
    <w:rsid w:val="00D0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4A3"/>
  </w:style>
  <w:style w:type="paragraph" w:styleId="Footer">
    <w:name w:val="footer"/>
    <w:basedOn w:val="Normal"/>
    <w:link w:val="FooterChar"/>
    <w:uiPriority w:val="99"/>
    <w:unhideWhenUsed/>
    <w:rsid w:val="00D0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4A3"/>
  </w:style>
  <w:style w:type="character" w:styleId="CommentReference">
    <w:name w:val="annotation reference"/>
    <w:basedOn w:val="DefaultParagraphFont"/>
    <w:uiPriority w:val="99"/>
    <w:semiHidden/>
    <w:unhideWhenUsed/>
    <w:rsid w:val="007E16B1"/>
    <w:rPr>
      <w:sz w:val="16"/>
      <w:szCs w:val="16"/>
    </w:rPr>
  </w:style>
  <w:style w:type="paragraph" w:styleId="CommentText">
    <w:name w:val="annotation text"/>
    <w:basedOn w:val="Normal"/>
    <w:link w:val="CommentTextChar"/>
    <w:uiPriority w:val="99"/>
    <w:semiHidden/>
    <w:unhideWhenUsed/>
    <w:rsid w:val="007E16B1"/>
    <w:pPr>
      <w:spacing w:line="240" w:lineRule="auto"/>
    </w:pPr>
    <w:rPr>
      <w:sz w:val="20"/>
      <w:szCs w:val="20"/>
    </w:rPr>
  </w:style>
  <w:style w:type="character" w:customStyle="1" w:styleId="CommentTextChar">
    <w:name w:val="Comment Text Char"/>
    <w:basedOn w:val="DefaultParagraphFont"/>
    <w:link w:val="CommentText"/>
    <w:uiPriority w:val="99"/>
    <w:semiHidden/>
    <w:rsid w:val="007E16B1"/>
    <w:rPr>
      <w:sz w:val="20"/>
      <w:szCs w:val="20"/>
    </w:rPr>
  </w:style>
  <w:style w:type="paragraph" w:styleId="CommentSubject">
    <w:name w:val="annotation subject"/>
    <w:basedOn w:val="CommentText"/>
    <w:next w:val="CommentText"/>
    <w:link w:val="CommentSubjectChar"/>
    <w:uiPriority w:val="99"/>
    <w:semiHidden/>
    <w:unhideWhenUsed/>
    <w:rsid w:val="007E16B1"/>
    <w:rPr>
      <w:b/>
      <w:bCs/>
    </w:rPr>
  </w:style>
  <w:style w:type="character" w:customStyle="1" w:styleId="CommentSubjectChar">
    <w:name w:val="Comment Subject Char"/>
    <w:basedOn w:val="CommentTextChar"/>
    <w:link w:val="CommentSubject"/>
    <w:uiPriority w:val="99"/>
    <w:semiHidden/>
    <w:rsid w:val="007E16B1"/>
    <w:rPr>
      <w:b/>
      <w:bCs/>
      <w:sz w:val="20"/>
      <w:szCs w:val="20"/>
    </w:rPr>
  </w:style>
  <w:style w:type="character" w:customStyle="1" w:styleId="Heading2Char">
    <w:name w:val="Heading 2 Char"/>
    <w:basedOn w:val="DefaultParagraphFont"/>
    <w:link w:val="Heading2"/>
    <w:uiPriority w:val="1"/>
    <w:semiHidden/>
    <w:rsid w:val="00AB0BB6"/>
    <w:rPr>
      <w:rFonts w:ascii="Times New Roman" w:eastAsia="Times New Roman" w:hAnsi="Times New Roman" w:cs="Times New Roman"/>
      <w:b/>
      <w:bCs/>
    </w:rPr>
  </w:style>
  <w:style w:type="paragraph" w:styleId="BodyText">
    <w:name w:val="Body Text"/>
    <w:basedOn w:val="Normal"/>
    <w:link w:val="BodyTextChar"/>
    <w:uiPriority w:val="1"/>
    <w:unhideWhenUsed/>
    <w:qFormat/>
    <w:rsid w:val="00AB0BB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B0BB6"/>
    <w:rPr>
      <w:rFonts w:ascii="Times New Roman" w:eastAsia="Times New Roman" w:hAnsi="Times New Roman" w:cs="Times New Roman"/>
    </w:rPr>
  </w:style>
  <w:style w:type="character" w:styleId="Hyperlink">
    <w:name w:val="Hyperlink"/>
    <w:basedOn w:val="DefaultParagraphFont"/>
    <w:uiPriority w:val="99"/>
    <w:unhideWhenUsed/>
    <w:rsid w:val="00590E05"/>
    <w:rPr>
      <w:color w:val="0000FF" w:themeColor="hyperlink"/>
      <w:u w:val="single"/>
    </w:rPr>
  </w:style>
  <w:style w:type="paragraph" w:customStyle="1" w:styleId="Default">
    <w:name w:val="Default"/>
    <w:rsid w:val="006E275D"/>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semiHidden/>
    <w:unhideWhenUsed/>
    <w:qFormat/>
    <w:rsid w:val="00AB0BB6"/>
    <w:pPr>
      <w:widowControl w:val="0"/>
      <w:autoSpaceDE w:val="0"/>
      <w:autoSpaceDN w:val="0"/>
      <w:spacing w:after="0" w:line="250" w:lineRule="exact"/>
      <w:ind w:left="114"/>
      <w:jc w:val="both"/>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B2"/>
    <w:rPr>
      <w:rFonts w:ascii="Tahoma" w:hAnsi="Tahoma" w:cs="Tahoma"/>
      <w:sz w:val="16"/>
      <w:szCs w:val="16"/>
    </w:rPr>
  </w:style>
  <w:style w:type="paragraph" w:styleId="ListParagraph">
    <w:name w:val="List Paragraph"/>
    <w:basedOn w:val="Normal"/>
    <w:uiPriority w:val="34"/>
    <w:qFormat/>
    <w:rsid w:val="009373B2"/>
    <w:pPr>
      <w:ind w:left="720"/>
      <w:contextualSpacing/>
    </w:pPr>
  </w:style>
  <w:style w:type="paragraph" w:styleId="Header">
    <w:name w:val="header"/>
    <w:basedOn w:val="Normal"/>
    <w:link w:val="HeaderChar"/>
    <w:uiPriority w:val="99"/>
    <w:unhideWhenUsed/>
    <w:rsid w:val="00D034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4A3"/>
  </w:style>
  <w:style w:type="paragraph" w:styleId="Footer">
    <w:name w:val="footer"/>
    <w:basedOn w:val="Normal"/>
    <w:link w:val="FooterChar"/>
    <w:uiPriority w:val="99"/>
    <w:unhideWhenUsed/>
    <w:rsid w:val="00D034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4A3"/>
  </w:style>
  <w:style w:type="character" w:styleId="CommentReference">
    <w:name w:val="annotation reference"/>
    <w:basedOn w:val="DefaultParagraphFont"/>
    <w:uiPriority w:val="99"/>
    <w:semiHidden/>
    <w:unhideWhenUsed/>
    <w:rsid w:val="007E16B1"/>
    <w:rPr>
      <w:sz w:val="16"/>
      <w:szCs w:val="16"/>
    </w:rPr>
  </w:style>
  <w:style w:type="paragraph" w:styleId="CommentText">
    <w:name w:val="annotation text"/>
    <w:basedOn w:val="Normal"/>
    <w:link w:val="CommentTextChar"/>
    <w:uiPriority w:val="99"/>
    <w:semiHidden/>
    <w:unhideWhenUsed/>
    <w:rsid w:val="007E16B1"/>
    <w:pPr>
      <w:spacing w:line="240" w:lineRule="auto"/>
    </w:pPr>
    <w:rPr>
      <w:sz w:val="20"/>
      <w:szCs w:val="20"/>
    </w:rPr>
  </w:style>
  <w:style w:type="character" w:customStyle="1" w:styleId="CommentTextChar">
    <w:name w:val="Comment Text Char"/>
    <w:basedOn w:val="DefaultParagraphFont"/>
    <w:link w:val="CommentText"/>
    <w:uiPriority w:val="99"/>
    <w:semiHidden/>
    <w:rsid w:val="007E16B1"/>
    <w:rPr>
      <w:sz w:val="20"/>
      <w:szCs w:val="20"/>
    </w:rPr>
  </w:style>
  <w:style w:type="paragraph" w:styleId="CommentSubject">
    <w:name w:val="annotation subject"/>
    <w:basedOn w:val="CommentText"/>
    <w:next w:val="CommentText"/>
    <w:link w:val="CommentSubjectChar"/>
    <w:uiPriority w:val="99"/>
    <w:semiHidden/>
    <w:unhideWhenUsed/>
    <w:rsid w:val="007E16B1"/>
    <w:rPr>
      <w:b/>
      <w:bCs/>
    </w:rPr>
  </w:style>
  <w:style w:type="character" w:customStyle="1" w:styleId="CommentSubjectChar">
    <w:name w:val="Comment Subject Char"/>
    <w:basedOn w:val="CommentTextChar"/>
    <w:link w:val="CommentSubject"/>
    <w:uiPriority w:val="99"/>
    <w:semiHidden/>
    <w:rsid w:val="007E16B1"/>
    <w:rPr>
      <w:b/>
      <w:bCs/>
      <w:sz w:val="20"/>
      <w:szCs w:val="20"/>
    </w:rPr>
  </w:style>
  <w:style w:type="character" w:customStyle="1" w:styleId="Heading2Char">
    <w:name w:val="Heading 2 Char"/>
    <w:basedOn w:val="DefaultParagraphFont"/>
    <w:link w:val="Heading2"/>
    <w:uiPriority w:val="1"/>
    <w:semiHidden/>
    <w:rsid w:val="00AB0BB6"/>
    <w:rPr>
      <w:rFonts w:ascii="Times New Roman" w:eastAsia="Times New Roman" w:hAnsi="Times New Roman" w:cs="Times New Roman"/>
      <w:b/>
      <w:bCs/>
    </w:rPr>
  </w:style>
  <w:style w:type="paragraph" w:styleId="BodyText">
    <w:name w:val="Body Text"/>
    <w:basedOn w:val="Normal"/>
    <w:link w:val="BodyTextChar"/>
    <w:uiPriority w:val="1"/>
    <w:unhideWhenUsed/>
    <w:qFormat/>
    <w:rsid w:val="00AB0BB6"/>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B0BB6"/>
    <w:rPr>
      <w:rFonts w:ascii="Times New Roman" w:eastAsia="Times New Roman" w:hAnsi="Times New Roman" w:cs="Times New Roman"/>
    </w:rPr>
  </w:style>
  <w:style w:type="character" w:styleId="Hyperlink">
    <w:name w:val="Hyperlink"/>
    <w:basedOn w:val="DefaultParagraphFont"/>
    <w:uiPriority w:val="99"/>
    <w:unhideWhenUsed/>
    <w:rsid w:val="00590E05"/>
    <w:rPr>
      <w:color w:val="0000FF" w:themeColor="hyperlink"/>
      <w:u w:val="single"/>
    </w:rPr>
  </w:style>
  <w:style w:type="paragraph" w:customStyle="1" w:styleId="Default">
    <w:name w:val="Default"/>
    <w:rsid w:val="006E275D"/>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4561">
      <w:bodyDiv w:val="1"/>
      <w:marLeft w:val="0"/>
      <w:marRight w:val="0"/>
      <w:marTop w:val="0"/>
      <w:marBottom w:val="0"/>
      <w:divBdr>
        <w:top w:val="none" w:sz="0" w:space="0" w:color="auto"/>
        <w:left w:val="none" w:sz="0" w:space="0" w:color="auto"/>
        <w:bottom w:val="none" w:sz="0" w:space="0" w:color="auto"/>
        <w:right w:val="none" w:sz="0" w:space="0" w:color="auto"/>
      </w:divBdr>
    </w:div>
    <w:div w:id="1435007275">
      <w:bodyDiv w:val="1"/>
      <w:marLeft w:val="0"/>
      <w:marRight w:val="0"/>
      <w:marTop w:val="0"/>
      <w:marBottom w:val="0"/>
      <w:divBdr>
        <w:top w:val="none" w:sz="0" w:space="0" w:color="auto"/>
        <w:left w:val="none" w:sz="0" w:space="0" w:color="auto"/>
        <w:bottom w:val="none" w:sz="0" w:space="0" w:color="auto"/>
        <w:right w:val="none" w:sz="0" w:space="0" w:color="auto"/>
      </w:divBdr>
      <w:divsChild>
        <w:div w:id="1593198203">
          <w:marLeft w:val="446"/>
          <w:marRight w:val="0"/>
          <w:marTop w:val="0"/>
          <w:marBottom w:val="0"/>
          <w:divBdr>
            <w:top w:val="none" w:sz="0" w:space="0" w:color="auto"/>
            <w:left w:val="none" w:sz="0" w:space="0" w:color="auto"/>
            <w:bottom w:val="none" w:sz="0" w:space="0" w:color="auto"/>
            <w:right w:val="none" w:sz="0" w:space="0" w:color="auto"/>
          </w:divBdr>
        </w:div>
        <w:div w:id="372315675">
          <w:marLeft w:val="446"/>
          <w:marRight w:val="0"/>
          <w:marTop w:val="0"/>
          <w:marBottom w:val="0"/>
          <w:divBdr>
            <w:top w:val="none" w:sz="0" w:space="0" w:color="auto"/>
            <w:left w:val="none" w:sz="0" w:space="0" w:color="auto"/>
            <w:bottom w:val="none" w:sz="0" w:space="0" w:color="auto"/>
            <w:right w:val="none" w:sz="0" w:space="0" w:color="auto"/>
          </w:divBdr>
        </w:div>
        <w:div w:id="1846089125">
          <w:marLeft w:val="446"/>
          <w:marRight w:val="0"/>
          <w:marTop w:val="0"/>
          <w:marBottom w:val="0"/>
          <w:divBdr>
            <w:top w:val="none" w:sz="0" w:space="0" w:color="auto"/>
            <w:left w:val="none" w:sz="0" w:space="0" w:color="auto"/>
            <w:bottom w:val="none" w:sz="0" w:space="0" w:color="auto"/>
            <w:right w:val="none" w:sz="0" w:space="0" w:color="auto"/>
          </w:divBdr>
        </w:div>
        <w:div w:id="1487433617">
          <w:marLeft w:val="446"/>
          <w:marRight w:val="0"/>
          <w:marTop w:val="0"/>
          <w:marBottom w:val="0"/>
          <w:divBdr>
            <w:top w:val="none" w:sz="0" w:space="0" w:color="auto"/>
            <w:left w:val="none" w:sz="0" w:space="0" w:color="auto"/>
            <w:bottom w:val="none" w:sz="0" w:space="0" w:color="auto"/>
            <w:right w:val="none" w:sz="0" w:space="0" w:color="auto"/>
          </w:divBdr>
        </w:div>
        <w:div w:id="1878271514">
          <w:marLeft w:val="446"/>
          <w:marRight w:val="0"/>
          <w:marTop w:val="0"/>
          <w:marBottom w:val="0"/>
          <w:divBdr>
            <w:top w:val="none" w:sz="0" w:space="0" w:color="auto"/>
            <w:left w:val="none" w:sz="0" w:space="0" w:color="auto"/>
            <w:bottom w:val="none" w:sz="0" w:space="0" w:color="auto"/>
            <w:right w:val="none" w:sz="0" w:space="0" w:color="auto"/>
          </w:divBdr>
        </w:div>
        <w:div w:id="1107191777">
          <w:marLeft w:val="446"/>
          <w:marRight w:val="0"/>
          <w:marTop w:val="0"/>
          <w:marBottom w:val="0"/>
          <w:divBdr>
            <w:top w:val="none" w:sz="0" w:space="0" w:color="auto"/>
            <w:left w:val="none" w:sz="0" w:space="0" w:color="auto"/>
            <w:bottom w:val="none" w:sz="0" w:space="0" w:color="auto"/>
            <w:right w:val="none" w:sz="0" w:space="0" w:color="auto"/>
          </w:divBdr>
        </w:div>
        <w:div w:id="635792794">
          <w:marLeft w:val="446"/>
          <w:marRight w:val="0"/>
          <w:marTop w:val="0"/>
          <w:marBottom w:val="0"/>
          <w:divBdr>
            <w:top w:val="none" w:sz="0" w:space="0" w:color="auto"/>
            <w:left w:val="none" w:sz="0" w:space="0" w:color="auto"/>
            <w:bottom w:val="none" w:sz="0" w:space="0" w:color="auto"/>
            <w:right w:val="none" w:sz="0" w:space="0" w:color="auto"/>
          </w:divBdr>
        </w:div>
        <w:div w:id="1542667560">
          <w:marLeft w:val="446"/>
          <w:marRight w:val="0"/>
          <w:marTop w:val="0"/>
          <w:marBottom w:val="0"/>
          <w:divBdr>
            <w:top w:val="none" w:sz="0" w:space="0" w:color="auto"/>
            <w:left w:val="none" w:sz="0" w:space="0" w:color="auto"/>
            <w:bottom w:val="none" w:sz="0" w:space="0" w:color="auto"/>
            <w:right w:val="none" w:sz="0" w:space="0" w:color="auto"/>
          </w:divBdr>
        </w:div>
        <w:div w:id="1944459248">
          <w:marLeft w:val="446"/>
          <w:marRight w:val="0"/>
          <w:marTop w:val="0"/>
          <w:marBottom w:val="0"/>
          <w:divBdr>
            <w:top w:val="none" w:sz="0" w:space="0" w:color="auto"/>
            <w:left w:val="none" w:sz="0" w:space="0" w:color="auto"/>
            <w:bottom w:val="none" w:sz="0" w:space="0" w:color="auto"/>
            <w:right w:val="none" w:sz="0" w:space="0" w:color="auto"/>
          </w:divBdr>
        </w:div>
      </w:divsChild>
    </w:div>
    <w:div w:id="16778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n.gov/content/dam/tn/workforce/documents/ProgramManagement/WFS_Memo_-_CLEO_Roles_and_Responsibilites_.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tn.gov/content/dam/tn/workforce/documents/ProgramManagement/WFS_Memo_-_Interlocal_Agreements.pdf" TargetMode="External"/><Relationship Id="rId11" Type="http://schemas.openxmlformats.org/officeDocument/2006/relationships/hyperlink" Target="https://www.tn.gov/assets/entities/labor/attachments/Completed_WFS_Policy_-%20_Local_Governance.pdf" TargetMode="External"/><Relationship Id="rId12" Type="http://schemas.openxmlformats.org/officeDocument/2006/relationships/hyperlink" Target="https://www.tn.gov/content/dam/tn/workforce/documents/ProgramManagement/Local_Board_Nomination_Guidance.pdf" TargetMode="External"/><Relationship Id="rId13" Type="http://schemas.openxmlformats.org/officeDocument/2006/relationships/hyperlink" Target="https://www.tn.gov/content/dam/tn/workforce/documents/ProgramManagement/WFS_Memo_on_LWDBs_providing_one-stop_services.pdf" TargetMode="External"/><Relationship Id="rId14" Type="http://schemas.openxmlformats.org/officeDocument/2006/relationships/hyperlink" Target="https://www.tn.gov/content/dam/tn/workforce/documents/ProgramManagement/WorkforceServicesGuidance-OSOandCareerServiceProviderProcurement.pdf" TargetMode="External"/><Relationship Id="rId15" Type="http://schemas.openxmlformats.org/officeDocument/2006/relationships/hyperlink" Target="https://www.tn.gov/content/dam/tn/workforce/documents/ProgramManagement/MOU-One-StopServiceDeliveryandInfrastructureAgreement.pdf" TargetMode="External"/><Relationship Id="rId16" Type="http://schemas.openxmlformats.org/officeDocument/2006/relationships/hyperlink" Target="https://www.tn.gov/content/dam/tn/workforce/documents/ProgramManagement/(16-09)%20Workforce%20Services%20Policy%20-%20Eligible%20Training%20Provider%20List.pdf" TargetMode="External"/><Relationship Id="rId17" Type="http://schemas.openxmlformats.org/officeDocument/2006/relationships/hyperlink" Target="mailto:Nicholas.Bishop@tn.gov"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1895</Words>
  <Characters>10802</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Tennessee Dept. of Labor.</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Bishop</dc:creator>
  <cp:lastModifiedBy>Chris Brantley</cp:lastModifiedBy>
  <cp:revision>2</cp:revision>
  <cp:lastPrinted>2018-05-14T14:00:00Z</cp:lastPrinted>
  <dcterms:created xsi:type="dcterms:W3CDTF">2018-07-30T13:08:00Z</dcterms:created>
  <dcterms:modified xsi:type="dcterms:W3CDTF">2018-07-30T13:08:00Z</dcterms:modified>
</cp:coreProperties>
</file>