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AE7E" w14:textId="77777777" w:rsidR="007E280A" w:rsidRDefault="007E280A"/>
    <w:tbl>
      <w:tblPr>
        <w:tblW w:w="519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6"/>
        <w:gridCol w:w="87"/>
        <w:gridCol w:w="3916"/>
        <w:gridCol w:w="25"/>
        <w:gridCol w:w="5332"/>
      </w:tblGrid>
      <w:tr w:rsidR="00B470C5" w:rsidRPr="001B588A" w14:paraId="16175611" w14:textId="77777777" w:rsidTr="001E3568">
        <w:trPr>
          <w:cantSplit/>
          <w:tblHeader/>
        </w:trPr>
        <w:tc>
          <w:tcPr>
            <w:tcW w:w="5000" w:type="pct"/>
            <w:gridSpan w:val="6"/>
            <w:shd w:val="clear" w:color="auto" w:fill="D9D9D9" w:themeFill="background1" w:themeFillShade="D9"/>
            <w:vAlign w:val="center"/>
          </w:tcPr>
          <w:p w14:paraId="12F6FDD4" w14:textId="2B3623DB" w:rsidR="00B470C5" w:rsidRPr="001036AA" w:rsidRDefault="00894CB3" w:rsidP="00691372">
            <w:pPr>
              <w:jc w:val="center"/>
              <w:rPr>
                <w:rFonts w:asciiTheme="minorHAnsi" w:hAnsiTheme="minorHAnsi"/>
                <w:b/>
                <w:sz w:val="32"/>
                <w:szCs w:val="32"/>
              </w:rPr>
            </w:pPr>
            <w:r>
              <w:rPr>
                <w:rFonts w:asciiTheme="minorHAnsi" w:hAnsiTheme="minorHAnsi"/>
                <w:b/>
                <w:sz w:val="32"/>
                <w:szCs w:val="32"/>
              </w:rPr>
              <w:t>SWC</w:t>
            </w:r>
            <w:r w:rsidR="007D25AF">
              <w:rPr>
                <w:rFonts w:asciiTheme="minorHAnsi" w:hAnsiTheme="minorHAnsi"/>
                <w:b/>
                <w:sz w:val="32"/>
                <w:szCs w:val="32"/>
              </w:rPr>
              <w:t>2</w:t>
            </w:r>
            <w:r w:rsidR="00CC1811">
              <w:rPr>
                <w:rFonts w:asciiTheme="minorHAnsi" w:hAnsiTheme="minorHAnsi"/>
                <w:b/>
                <w:sz w:val="32"/>
                <w:szCs w:val="32"/>
              </w:rPr>
              <w:t xml:space="preserve">35 </w:t>
            </w:r>
            <w:r w:rsidR="001E48CD">
              <w:rPr>
                <w:rFonts w:asciiTheme="minorHAnsi" w:hAnsiTheme="minorHAnsi"/>
                <w:b/>
                <w:sz w:val="32"/>
                <w:szCs w:val="32"/>
              </w:rPr>
              <w:t xml:space="preserve">Industrial </w:t>
            </w:r>
            <w:r w:rsidR="00CC1811">
              <w:rPr>
                <w:rFonts w:asciiTheme="minorHAnsi" w:hAnsiTheme="minorHAnsi"/>
                <w:b/>
                <w:sz w:val="32"/>
                <w:szCs w:val="32"/>
              </w:rPr>
              <w:t>Supplies</w:t>
            </w:r>
            <w:r w:rsidR="003A347F">
              <w:rPr>
                <w:rFonts w:asciiTheme="minorHAnsi" w:hAnsiTheme="minorHAnsi"/>
                <w:b/>
                <w:sz w:val="32"/>
                <w:szCs w:val="32"/>
              </w:rPr>
              <w:t xml:space="preserve"> </w:t>
            </w:r>
            <w:r w:rsidR="00B470C5" w:rsidRPr="001036AA">
              <w:rPr>
                <w:rFonts w:asciiTheme="minorHAnsi" w:hAnsiTheme="minorHAnsi"/>
                <w:b/>
                <w:sz w:val="32"/>
                <w:szCs w:val="32"/>
              </w:rPr>
              <w:t xml:space="preserve"> </w:t>
            </w:r>
            <w:r w:rsidR="009C661F">
              <w:rPr>
                <w:rFonts w:asciiTheme="minorHAnsi" w:hAnsiTheme="minorHAnsi"/>
                <w:b/>
                <w:sz w:val="32"/>
                <w:szCs w:val="32"/>
              </w:rPr>
              <w:t xml:space="preserve">Pre-Response </w:t>
            </w:r>
            <w:r w:rsidR="00CC1811">
              <w:rPr>
                <w:rFonts w:asciiTheme="minorHAnsi" w:hAnsiTheme="minorHAnsi"/>
                <w:b/>
                <w:sz w:val="32"/>
                <w:szCs w:val="32"/>
              </w:rPr>
              <w:t>December1</w:t>
            </w:r>
            <w:r w:rsidR="009C661F">
              <w:rPr>
                <w:rFonts w:asciiTheme="minorHAnsi" w:hAnsiTheme="minorHAnsi"/>
                <w:b/>
                <w:sz w:val="32"/>
                <w:szCs w:val="32"/>
              </w:rPr>
              <w:t xml:space="preserve">, </w:t>
            </w:r>
            <w:r w:rsidR="00F1643B">
              <w:rPr>
                <w:rFonts w:asciiTheme="minorHAnsi" w:hAnsiTheme="minorHAnsi"/>
                <w:b/>
                <w:sz w:val="32"/>
                <w:szCs w:val="32"/>
              </w:rPr>
              <w:t>202</w:t>
            </w:r>
            <w:r w:rsidR="00CC1811">
              <w:rPr>
                <w:rFonts w:asciiTheme="minorHAnsi" w:hAnsiTheme="minorHAnsi"/>
                <w:b/>
                <w:sz w:val="32"/>
                <w:szCs w:val="32"/>
              </w:rPr>
              <w:t>3</w:t>
            </w:r>
            <w:r w:rsidR="00F1643B">
              <w:rPr>
                <w:rFonts w:asciiTheme="minorHAnsi" w:hAnsiTheme="minorHAnsi"/>
                <w:b/>
                <w:sz w:val="32"/>
                <w:szCs w:val="32"/>
              </w:rPr>
              <w:t>,</w:t>
            </w:r>
            <w:r w:rsidR="009C661F">
              <w:rPr>
                <w:rFonts w:asciiTheme="minorHAnsi" w:hAnsiTheme="minorHAnsi"/>
                <w:b/>
                <w:sz w:val="32"/>
                <w:szCs w:val="32"/>
              </w:rPr>
              <w:t xml:space="preserve"> </w:t>
            </w:r>
            <w:r w:rsidR="00B470C5" w:rsidRPr="001036AA">
              <w:rPr>
                <w:rFonts w:asciiTheme="minorHAnsi" w:hAnsiTheme="minorHAnsi"/>
                <w:b/>
                <w:sz w:val="32"/>
                <w:szCs w:val="32"/>
              </w:rPr>
              <w:t>Questions</w:t>
            </w:r>
            <w:r w:rsidR="003A347F">
              <w:rPr>
                <w:rFonts w:asciiTheme="minorHAnsi" w:hAnsiTheme="minorHAnsi"/>
                <w:b/>
                <w:sz w:val="32"/>
                <w:szCs w:val="32"/>
              </w:rPr>
              <w:t xml:space="preserve"> and Answers</w:t>
            </w:r>
          </w:p>
          <w:p w14:paraId="287470C7" w14:textId="77777777" w:rsidR="00B470C5" w:rsidRPr="001B588A" w:rsidRDefault="00B470C5" w:rsidP="00691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rPr>
                <w:rFonts w:asciiTheme="minorHAnsi" w:hAnsiTheme="minorHAnsi" w:cs="Arial"/>
                <w:b/>
                <w:bCs/>
              </w:rPr>
            </w:pPr>
          </w:p>
        </w:tc>
      </w:tr>
      <w:tr w:rsidR="00B470C5" w:rsidRPr="00847D74" w14:paraId="017D37D8" w14:textId="77777777" w:rsidTr="00AB7047">
        <w:trPr>
          <w:cantSplit/>
          <w:trHeight w:val="827"/>
          <w:tblHeader/>
        </w:trPr>
        <w:tc>
          <w:tcPr>
            <w:tcW w:w="2258" w:type="pct"/>
            <w:gridSpan w:val="5"/>
            <w:shd w:val="clear" w:color="auto" w:fill="D9D9D9" w:themeFill="background1" w:themeFillShade="D9"/>
            <w:vAlign w:val="center"/>
          </w:tcPr>
          <w:p w14:paraId="184D8080" w14:textId="77777777" w:rsidR="00B470C5" w:rsidRPr="00847D74" w:rsidRDefault="00B470C5" w:rsidP="00691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rPr>
                <w:rFonts w:asciiTheme="minorHAnsi" w:hAnsiTheme="minorHAnsi" w:cs="Arial"/>
                <w:b/>
                <w:bCs/>
              </w:rPr>
            </w:pPr>
            <w:r w:rsidRPr="00847D74">
              <w:rPr>
                <w:rFonts w:asciiTheme="minorHAnsi" w:hAnsiTheme="minorHAnsi" w:cs="Arial"/>
                <w:b/>
                <w:bCs/>
              </w:rPr>
              <w:t>QUESTION / COMMENT</w:t>
            </w:r>
          </w:p>
        </w:tc>
        <w:tc>
          <w:tcPr>
            <w:tcW w:w="2742" w:type="pct"/>
            <w:shd w:val="clear" w:color="auto" w:fill="D9D9D9" w:themeFill="background1" w:themeFillShade="D9"/>
            <w:vAlign w:val="center"/>
          </w:tcPr>
          <w:p w14:paraId="70477C6C" w14:textId="77777777" w:rsidR="00B470C5" w:rsidRPr="00847D74" w:rsidRDefault="00B470C5" w:rsidP="00691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rPr>
                <w:rFonts w:asciiTheme="minorHAnsi" w:hAnsiTheme="minorHAnsi" w:cs="Arial"/>
                <w:b/>
                <w:bCs/>
              </w:rPr>
            </w:pPr>
            <w:r w:rsidRPr="00847D74">
              <w:rPr>
                <w:rFonts w:asciiTheme="minorHAnsi" w:hAnsiTheme="minorHAnsi" w:cs="Arial"/>
                <w:b/>
                <w:bCs/>
              </w:rPr>
              <w:t xml:space="preserve">STATE </w:t>
            </w:r>
            <w:r w:rsidR="00D17A90" w:rsidRPr="00847D74">
              <w:rPr>
                <w:rFonts w:asciiTheme="minorHAnsi" w:hAnsiTheme="minorHAnsi" w:cs="Arial"/>
                <w:b/>
                <w:bCs/>
              </w:rPr>
              <w:t xml:space="preserve">of TN </w:t>
            </w:r>
            <w:r w:rsidRPr="00847D74">
              <w:rPr>
                <w:rFonts w:asciiTheme="minorHAnsi" w:hAnsiTheme="minorHAnsi" w:cs="Arial"/>
                <w:b/>
                <w:bCs/>
              </w:rPr>
              <w:t>RESPONSE</w:t>
            </w:r>
          </w:p>
        </w:tc>
      </w:tr>
      <w:tr w:rsidR="00B470C5" w:rsidRPr="00847D74" w14:paraId="5FA700B2" w14:textId="77777777" w:rsidTr="00AB7047">
        <w:trPr>
          <w:trHeight w:val="288"/>
        </w:trPr>
        <w:tc>
          <w:tcPr>
            <w:tcW w:w="231" w:type="pct"/>
            <w:gridSpan w:val="3"/>
            <w:tcBorders>
              <w:right w:val="nil"/>
            </w:tcBorders>
          </w:tcPr>
          <w:p w14:paraId="3BD40FA4" w14:textId="77777777" w:rsidR="00B470C5" w:rsidRPr="00847D74" w:rsidRDefault="00B470C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02ED132E" w14:textId="61132C7E" w:rsidR="006A14EF" w:rsidRPr="006A14EF" w:rsidRDefault="006A14EF" w:rsidP="006A14EF">
            <w:pPr>
              <w:rPr>
                <w:rFonts w:ascii="Calibri" w:hAnsi="Calibri" w:cs="Calibri"/>
              </w:rPr>
            </w:pPr>
            <w:r>
              <w:rPr>
                <w:rFonts w:ascii="Calibri" w:hAnsi="Calibri" w:cs="Calibri"/>
              </w:rPr>
              <w:t xml:space="preserve">Concerning </w:t>
            </w:r>
            <w:r w:rsidRPr="006A14EF">
              <w:rPr>
                <w:rFonts w:ascii="Calibri" w:hAnsi="Calibri" w:cs="Calibri"/>
              </w:rPr>
              <w:t xml:space="preserve">in-store pick up/delivery; would the awarded vendor MUST have in-store locations for pick up?        </w:t>
            </w:r>
          </w:p>
          <w:p w14:paraId="27579FD7" w14:textId="0709065B" w:rsidR="00B470C5" w:rsidRPr="00847D74" w:rsidRDefault="00B470C5" w:rsidP="001D2961">
            <w:pPr>
              <w:rPr>
                <w:rFonts w:ascii="Calibri" w:hAnsi="Calibri" w:cs="Calibri"/>
              </w:rPr>
            </w:pPr>
          </w:p>
        </w:tc>
        <w:tc>
          <w:tcPr>
            <w:tcW w:w="2742" w:type="pct"/>
            <w:shd w:val="clear" w:color="auto" w:fill="auto"/>
          </w:tcPr>
          <w:p w14:paraId="679BD0D2" w14:textId="6DCC1EC1" w:rsidR="00791A2A" w:rsidRPr="00791A2A" w:rsidRDefault="000254BC" w:rsidP="00791A2A">
            <w:pPr>
              <w:rPr>
                <w:rFonts w:ascii="Calibri" w:hAnsi="Calibri" w:cs="Calibri"/>
              </w:rPr>
            </w:pPr>
            <w:r w:rsidRPr="000254BC">
              <w:rPr>
                <w:rFonts w:ascii="Calibri" w:hAnsi="Calibri" w:cs="Calibri"/>
              </w:rPr>
              <w:t>No, it is not a material requirement for an award.</w:t>
            </w:r>
          </w:p>
        </w:tc>
      </w:tr>
      <w:tr w:rsidR="00FE4CB5" w:rsidRPr="00FE4CB5" w14:paraId="6F542B61" w14:textId="77777777" w:rsidTr="00F631E6">
        <w:trPr>
          <w:trHeight w:val="288"/>
        </w:trPr>
        <w:tc>
          <w:tcPr>
            <w:tcW w:w="231" w:type="pct"/>
            <w:gridSpan w:val="3"/>
            <w:tcBorders>
              <w:right w:val="nil"/>
            </w:tcBorders>
          </w:tcPr>
          <w:p w14:paraId="24D2A8E6" w14:textId="77777777" w:rsidR="00B470C5" w:rsidRPr="00FE4CB5" w:rsidRDefault="00B470C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3EC40F9" w14:textId="09ABEEE8" w:rsidR="00B470C5" w:rsidRPr="00FE4CB5" w:rsidRDefault="00850E83" w:rsidP="001F0913">
            <w:pPr>
              <w:rPr>
                <w:rFonts w:ascii="Calibri" w:hAnsi="Calibri" w:cs="Calibri"/>
              </w:rPr>
            </w:pPr>
            <w:r w:rsidRPr="00FE4CB5">
              <w:rPr>
                <w:rFonts w:ascii="Calibri" w:hAnsi="Calibri" w:cs="Calibri"/>
              </w:rPr>
              <w:t>How will functional alternatives be evaluated vs. exact matches</w:t>
            </w:r>
            <w:r w:rsidR="002039FB" w:rsidRPr="00FE4CB5">
              <w:rPr>
                <w:rFonts w:ascii="Calibri" w:hAnsi="Calibri" w:cs="Calibri"/>
              </w:rPr>
              <w:t xml:space="preserve"> for the core items in each category</w:t>
            </w:r>
            <w:r w:rsidRPr="00FE4CB5">
              <w:rPr>
                <w:rFonts w:ascii="Calibri" w:hAnsi="Calibri" w:cs="Calibri"/>
              </w:rPr>
              <w:t>?</w:t>
            </w:r>
          </w:p>
        </w:tc>
        <w:tc>
          <w:tcPr>
            <w:tcW w:w="2742" w:type="pct"/>
            <w:shd w:val="clear" w:color="auto" w:fill="auto"/>
          </w:tcPr>
          <w:p w14:paraId="59857130" w14:textId="25680D6B" w:rsidR="004D5EDE" w:rsidRPr="00FE4CB5" w:rsidRDefault="00791B0C"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AB7047">
              <w:rPr>
                <w:rFonts w:ascii="Calibri" w:hAnsi="Calibri" w:cs="Calibri"/>
              </w:rPr>
              <w:t>N</w:t>
            </w:r>
            <w:r w:rsidR="00850E83" w:rsidRPr="00AB7047">
              <w:rPr>
                <w:rFonts w:ascii="Calibri" w:hAnsi="Calibri" w:cs="Calibri"/>
              </w:rPr>
              <w:t>o functional equivalents are allowed.</w:t>
            </w:r>
            <w:r w:rsidR="00D07DB8" w:rsidRPr="00FE4CB5">
              <w:t xml:space="preserve"> </w:t>
            </w:r>
            <w:r w:rsidR="00D07DB8" w:rsidRPr="00AB7047">
              <w:rPr>
                <w:rFonts w:ascii="Calibri" w:hAnsi="Calibri" w:cs="Calibri"/>
              </w:rPr>
              <w:t xml:space="preserve"> Any product bid on the </w:t>
            </w:r>
            <w:r w:rsidR="00CA20AA">
              <w:rPr>
                <w:rFonts w:ascii="Calibri" w:hAnsi="Calibri" w:cs="Calibri"/>
              </w:rPr>
              <w:t>market basket</w:t>
            </w:r>
            <w:r w:rsidR="00D07DB8" w:rsidRPr="00AB7047">
              <w:rPr>
                <w:rFonts w:ascii="Calibri" w:hAnsi="Calibri" w:cs="Calibri"/>
              </w:rPr>
              <w:t xml:space="preserve"> items must be a national brand or an inhouse brand that is of equal to or better quality.</w:t>
            </w:r>
          </w:p>
        </w:tc>
      </w:tr>
      <w:tr w:rsidR="00FE4CB5" w:rsidRPr="00FE4CB5" w14:paraId="44B034EC" w14:textId="77777777" w:rsidTr="00F631E6">
        <w:trPr>
          <w:trHeight w:val="288"/>
        </w:trPr>
        <w:tc>
          <w:tcPr>
            <w:tcW w:w="231" w:type="pct"/>
            <w:gridSpan w:val="3"/>
            <w:tcBorders>
              <w:right w:val="nil"/>
            </w:tcBorders>
          </w:tcPr>
          <w:p w14:paraId="58ED6862" w14:textId="77777777" w:rsidR="00850E83" w:rsidRPr="00FE4CB5" w:rsidRDefault="00850E8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6CA4C6C" w14:textId="43A38CA8" w:rsidR="00850E83" w:rsidRPr="00FE4CB5" w:rsidRDefault="00850E83" w:rsidP="001F0913">
            <w:pPr>
              <w:rPr>
                <w:rFonts w:ascii="Calibri" w:hAnsi="Calibri" w:cs="Calibri"/>
              </w:rPr>
            </w:pPr>
            <w:r w:rsidRPr="00FE4CB5">
              <w:rPr>
                <w:rFonts w:ascii="Calibri" w:hAnsi="Calibri" w:cs="Calibri"/>
              </w:rPr>
              <w:t xml:space="preserve">Please confirm, is a </w:t>
            </w:r>
            <w:r w:rsidR="002039FB" w:rsidRPr="00FE4CB5">
              <w:rPr>
                <w:rFonts w:ascii="Calibri" w:hAnsi="Calibri" w:cs="Calibri"/>
              </w:rPr>
              <w:t>R</w:t>
            </w:r>
            <w:r w:rsidRPr="00FE4CB5">
              <w:rPr>
                <w:rFonts w:ascii="Calibri" w:hAnsi="Calibri" w:cs="Calibri"/>
              </w:rPr>
              <w:t>espondent able to offer an exact match AND a lower cost functional equivalent</w:t>
            </w:r>
            <w:r w:rsidR="002039FB" w:rsidRPr="00FE4CB5">
              <w:rPr>
                <w:rFonts w:ascii="Calibri" w:hAnsi="Calibri" w:cs="Calibri"/>
              </w:rPr>
              <w:t xml:space="preserve"> for the core items in each category</w:t>
            </w:r>
            <w:r w:rsidRPr="00FE4CB5">
              <w:rPr>
                <w:rFonts w:ascii="Calibri" w:hAnsi="Calibri" w:cs="Calibri"/>
              </w:rPr>
              <w:t>?</w:t>
            </w:r>
          </w:p>
        </w:tc>
        <w:tc>
          <w:tcPr>
            <w:tcW w:w="2742" w:type="pct"/>
            <w:shd w:val="clear" w:color="auto" w:fill="auto"/>
          </w:tcPr>
          <w:p w14:paraId="39E29663" w14:textId="7DAB616B" w:rsidR="00850E83" w:rsidRPr="00FE4CB5" w:rsidRDefault="00086FCB"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No, only one bid per core item will be accepted. </w:t>
            </w:r>
            <w:r w:rsidRPr="00AB7047">
              <w:rPr>
                <w:rFonts w:ascii="Calibri" w:hAnsi="Calibri" w:cs="Calibri"/>
              </w:rPr>
              <w:t xml:space="preserve">Any product bid on the </w:t>
            </w:r>
            <w:r w:rsidR="00CA20AA">
              <w:rPr>
                <w:rFonts w:ascii="Calibri" w:hAnsi="Calibri" w:cs="Calibri"/>
              </w:rPr>
              <w:t>market basket</w:t>
            </w:r>
            <w:r w:rsidRPr="00AB7047">
              <w:rPr>
                <w:rFonts w:ascii="Calibri" w:hAnsi="Calibri" w:cs="Calibri"/>
              </w:rPr>
              <w:t xml:space="preserve"> items must be a national brand or an inhouse brand that is of equal to or better quality</w:t>
            </w:r>
            <w:r w:rsidRPr="00FE4CB5">
              <w:rPr>
                <w:rFonts w:ascii="Calibri" w:hAnsi="Calibri" w:cs="Calibri"/>
              </w:rPr>
              <w:t>.</w:t>
            </w:r>
          </w:p>
        </w:tc>
      </w:tr>
      <w:tr w:rsidR="00FE4CB5" w:rsidRPr="00FE4CB5" w14:paraId="7648253B" w14:textId="77777777" w:rsidTr="00F631E6">
        <w:trPr>
          <w:trHeight w:val="288"/>
        </w:trPr>
        <w:tc>
          <w:tcPr>
            <w:tcW w:w="231" w:type="pct"/>
            <w:gridSpan w:val="3"/>
            <w:tcBorders>
              <w:right w:val="nil"/>
            </w:tcBorders>
          </w:tcPr>
          <w:p w14:paraId="4BDCDA81"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72B76844" w14:textId="71B85742" w:rsidR="00C903BA" w:rsidRPr="00FE4CB5" w:rsidRDefault="00C903BA" w:rsidP="001F0913">
            <w:pPr>
              <w:rPr>
                <w:rFonts w:ascii="Calibri" w:hAnsi="Calibri" w:cs="Calibri"/>
              </w:rPr>
            </w:pPr>
            <w:r w:rsidRPr="00FE4CB5">
              <w:rPr>
                <w:rFonts w:ascii="Calibri" w:hAnsi="Calibri" w:cs="Calibri"/>
              </w:rPr>
              <w:t>Will local pick up be a requirement to be considered an awarded vendor?</w:t>
            </w:r>
          </w:p>
        </w:tc>
        <w:tc>
          <w:tcPr>
            <w:tcW w:w="2742" w:type="pct"/>
            <w:shd w:val="clear" w:color="auto" w:fill="auto"/>
          </w:tcPr>
          <w:p w14:paraId="0127FE01" w14:textId="41FAF6DF" w:rsidR="00C903BA" w:rsidRPr="00FE4CB5" w:rsidRDefault="00140057"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No, it is not a material requirement for an award.</w:t>
            </w:r>
          </w:p>
        </w:tc>
      </w:tr>
      <w:tr w:rsidR="00FE4CB5" w:rsidRPr="00FE4CB5" w14:paraId="5AB9653E" w14:textId="77777777" w:rsidTr="00F631E6">
        <w:trPr>
          <w:trHeight w:val="288"/>
        </w:trPr>
        <w:tc>
          <w:tcPr>
            <w:tcW w:w="231" w:type="pct"/>
            <w:gridSpan w:val="3"/>
            <w:tcBorders>
              <w:right w:val="nil"/>
            </w:tcBorders>
          </w:tcPr>
          <w:p w14:paraId="77FE141A"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69562347" w14:textId="1F2CA63C" w:rsidR="00C903BA" w:rsidRPr="00FE4CB5" w:rsidRDefault="00C903BA" w:rsidP="001F0913">
            <w:pPr>
              <w:rPr>
                <w:rFonts w:ascii="Calibri" w:hAnsi="Calibri" w:cs="Calibri"/>
              </w:rPr>
            </w:pPr>
            <w:r w:rsidRPr="00FE4CB5">
              <w:rPr>
                <w:rFonts w:ascii="Calibri" w:hAnsi="Calibri" w:cs="Calibri"/>
              </w:rPr>
              <w:t>Must all manufacturers be bid within a category to be awarded or may we bid by line?</w:t>
            </w:r>
          </w:p>
        </w:tc>
        <w:tc>
          <w:tcPr>
            <w:tcW w:w="2742" w:type="pct"/>
            <w:shd w:val="clear" w:color="auto" w:fill="auto"/>
          </w:tcPr>
          <w:p w14:paraId="2894421F" w14:textId="774DEA65" w:rsidR="00C903BA" w:rsidRPr="00FE4CB5" w:rsidRDefault="004C03A3"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Yes, all sub-categories under  an awarded category must be bid in order for the bid to be considered responsive and responsible.</w:t>
            </w:r>
          </w:p>
        </w:tc>
      </w:tr>
      <w:tr w:rsidR="00FE4CB5" w:rsidRPr="00FE4CB5" w14:paraId="0B4C21EB" w14:textId="77777777" w:rsidTr="00F631E6">
        <w:trPr>
          <w:trHeight w:val="288"/>
        </w:trPr>
        <w:tc>
          <w:tcPr>
            <w:tcW w:w="231" w:type="pct"/>
            <w:gridSpan w:val="3"/>
            <w:tcBorders>
              <w:right w:val="nil"/>
            </w:tcBorders>
          </w:tcPr>
          <w:p w14:paraId="153AB225"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07D0E7DF" w14:textId="0D9938C5" w:rsidR="00C903BA" w:rsidRPr="00FE4CB5" w:rsidRDefault="00C903BA" w:rsidP="001F0913">
            <w:pPr>
              <w:rPr>
                <w:rFonts w:ascii="Calibri" w:hAnsi="Calibri" w:cs="Calibri"/>
              </w:rPr>
            </w:pPr>
            <w:r w:rsidRPr="00FE4CB5">
              <w:rPr>
                <w:rFonts w:ascii="Calibri" w:hAnsi="Calibri" w:cs="Calibri"/>
              </w:rPr>
              <w:t>Overnight delivery subject to overnight charges?</w:t>
            </w:r>
          </w:p>
        </w:tc>
        <w:tc>
          <w:tcPr>
            <w:tcW w:w="2742" w:type="pct"/>
            <w:shd w:val="clear" w:color="auto" w:fill="auto"/>
          </w:tcPr>
          <w:p w14:paraId="745C12DA" w14:textId="6E39E100" w:rsidR="00C903BA" w:rsidRPr="00FE4CB5" w:rsidRDefault="00046EEE"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Yes, all freight charges will be bid separately as per section 10 of the specifications.</w:t>
            </w:r>
          </w:p>
        </w:tc>
      </w:tr>
      <w:tr w:rsidR="00FE4CB5" w:rsidRPr="00FE4CB5" w14:paraId="769EC135" w14:textId="77777777" w:rsidTr="00F631E6">
        <w:trPr>
          <w:trHeight w:val="288"/>
        </w:trPr>
        <w:tc>
          <w:tcPr>
            <w:tcW w:w="231" w:type="pct"/>
            <w:gridSpan w:val="3"/>
            <w:tcBorders>
              <w:right w:val="nil"/>
            </w:tcBorders>
          </w:tcPr>
          <w:p w14:paraId="3AB99C3D"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7DABA87F" w14:textId="0C6B0835" w:rsidR="00C903BA" w:rsidRPr="00FE4CB5" w:rsidRDefault="00C903BA" w:rsidP="001F0913">
            <w:pPr>
              <w:rPr>
                <w:rFonts w:ascii="Calibri" w:hAnsi="Calibri" w:cs="Calibri"/>
              </w:rPr>
            </w:pPr>
            <w:r w:rsidRPr="00FE4CB5">
              <w:rPr>
                <w:rFonts w:ascii="Calibri" w:hAnsi="Calibri" w:cs="Calibri"/>
              </w:rPr>
              <w:t>Please verify which insurance requirements we must provide, i.e., fire insurance?</w:t>
            </w:r>
          </w:p>
        </w:tc>
        <w:tc>
          <w:tcPr>
            <w:tcW w:w="2742" w:type="pct"/>
            <w:shd w:val="clear" w:color="auto" w:fill="auto"/>
          </w:tcPr>
          <w:p w14:paraId="3D6C1642" w14:textId="55DEF7F9" w:rsidR="00C903BA" w:rsidRPr="00FE4CB5" w:rsidRDefault="00140057"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Please reference section 7.40 of the T&amp;C’s for insurance </w:t>
            </w:r>
            <w:r w:rsidR="00FC0E78" w:rsidRPr="00FE4CB5">
              <w:rPr>
                <w:rFonts w:ascii="Calibri" w:hAnsi="Calibri" w:cs="Calibri"/>
              </w:rPr>
              <w:t>requirements</w:t>
            </w:r>
            <w:r w:rsidRPr="00FE4CB5">
              <w:rPr>
                <w:rFonts w:ascii="Calibri" w:hAnsi="Calibri" w:cs="Calibri"/>
              </w:rPr>
              <w:t>.</w:t>
            </w:r>
          </w:p>
        </w:tc>
      </w:tr>
      <w:tr w:rsidR="00FE4CB5" w:rsidRPr="00FE4CB5" w14:paraId="1FA03CD4" w14:textId="77777777" w:rsidTr="00FE4CB5">
        <w:trPr>
          <w:trHeight w:val="288"/>
        </w:trPr>
        <w:tc>
          <w:tcPr>
            <w:tcW w:w="231" w:type="pct"/>
            <w:gridSpan w:val="3"/>
            <w:tcBorders>
              <w:right w:val="nil"/>
            </w:tcBorders>
          </w:tcPr>
          <w:p w14:paraId="09E621AE"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149C82B" w14:textId="77777777" w:rsidR="00C903BA" w:rsidRPr="00FE4CB5" w:rsidRDefault="00563C65" w:rsidP="001F0913">
            <w:pPr>
              <w:rPr>
                <w:rFonts w:ascii="Calibri" w:hAnsi="Calibri" w:cs="Calibri"/>
              </w:rPr>
            </w:pPr>
            <w:r w:rsidRPr="00FE4CB5">
              <w:rPr>
                <w:rFonts w:ascii="Calibri" w:hAnsi="Calibri" w:cs="Calibri"/>
              </w:rPr>
              <w:t>On the items in the table below, can you please share the GOJO/Purell item #. What you shared is too vague as we need more info to ensure we bid the correct item.</w:t>
            </w:r>
          </w:p>
          <w:p w14:paraId="08B8C577" w14:textId="77777777" w:rsidR="00563C65" w:rsidRPr="00FE4CB5" w:rsidRDefault="00563C65" w:rsidP="00563C65">
            <w:pPr>
              <w:rPr>
                <w:rFonts w:ascii="Calibri" w:hAnsi="Calibri" w:cs="Calibri"/>
              </w:rPr>
            </w:pPr>
            <w:r w:rsidRPr="00FE4CB5">
              <w:rPr>
                <w:rFonts w:ascii="Calibri" w:hAnsi="Calibri" w:cs="Calibri"/>
              </w:rPr>
              <w:t>Liquid Hand Soap &amp; Dispensers</w:t>
            </w:r>
            <w:r w:rsidRPr="00FE4CB5">
              <w:rPr>
                <w:rFonts w:ascii="Calibri" w:hAnsi="Calibri" w:cs="Calibri"/>
              </w:rPr>
              <w:tab/>
              <w:t>Hand Soap,Cartridge,Foam,1250mL,PK4</w:t>
            </w:r>
          </w:p>
          <w:p w14:paraId="5CA6C329" w14:textId="337C0EB1" w:rsidR="00563C65" w:rsidRPr="00FE4CB5" w:rsidRDefault="00563C65" w:rsidP="00563C65">
            <w:pPr>
              <w:rPr>
                <w:rFonts w:ascii="Calibri" w:hAnsi="Calibri" w:cs="Calibri"/>
              </w:rPr>
            </w:pPr>
            <w:r w:rsidRPr="00FE4CB5">
              <w:rPr>
                <w:rFonts w:ascii="Calibri" w:hAnsi="Calibri" w:cs="Calibri"/>
              </w:rPr>
              <w:t>Liquid Hand Soap &amp; Dispensers</w:t>
            </w:r>
            <w:r w:rsidRPr="00FE4CB5">
              <w:rPr>
                <w:rFonts w:ascii="Calibri" w:hAnsi="Calibri" w:cs="Calibri"/>
              </w:rPr>
              <w:tab/>
              <w:t>Hand Soap,Lotion,Refill,800 mL,PK12</w:t>
            </w:r>
          </w:p>
        </w:tc>
        <w:tc>
          <w:tcPr>
            <w:tcW w:w="2742" w:type="pct"/>
            <w:shd w:val="clear" w:color="auto" w:fill="auto"/>
          </w:tcPr>
          <w:p w14:paraId="0499E985" w14:textId="422467AB" w:rsidR="00C903BA" w:rsidRPr="00FE4CB5" w:rsidRDefault="006A7D00"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The items listed are not brand specific and are </w:t>
            </w:r>
            <w:r w:rsidR="008A1C6B" w:rsidRPr="00FE4CB5">
              <w:rPr>
                <w:rFonts w:ascii="Calibri" w:hAnsi="Calibri" w:cs="Calibri"/>
              </w:rPr>
              <w:t xml:space="preserve">as </w:t>
            </w:r>
            <w:r w:rsidRPr="00FE4CB5">
              <w:rPr>
                <w:rFonts w:ascii="Calibri" w:hAnsi="Calibri" w:cs="Calibri"/>
              </w:rPr>
              <w:t xml:space="preserve">general as possible. </w:t>
            </w:r>
            <w:r w:rsidR="008A1C6B" w:rsidRPr="00FE4CB5">
              <w:rPr>
                <w:rFonts w:ascii="Calibri" w:hAnsi="Calibri" w:cs="Calibri"/>
              </w:rPr>
              <w:t xml:space="preserve">Please see the response to questions #2 and #3. </w:t>
            </w:r>
          </w:p>
        </w:tc>
      </w:tr>
      <w:tr w:rsidR="00FE4CB5" w:rsidRPr="00FE4CB5" w14:paraId="54961A7D" w14:textId="77777777" w:rsidTr="00F631E6">
        <w:trPr>
          <w:trHeight w:val="288"/>
        </w:trPr>
        <w:tc>
          <w:tcPr>
            <w:tcW w:w="231" w:type="pct"/>
            <w:gridSpan w:val="3"/>
            <w:tcBorders>
              <w:right w:val="nil"/>
            </w:tcBorders>
          </w:tcPr>
          <w:p w14:paraId="43F9E36D"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E9B5C1B" w14:textId="77777777" w:rsidR="00C903BA" w:rsidRPr="00FE4CB5" w:rsidRDefault="00563C65" w:rsidP="002D1A69">
            <w:pPr>
              <w:ind w:left="432" w:right="-432"/>
              <w:rPr>
                <w:rFonts w:ascii="Calibri" w:hAnsi="Calibri" w:cs="Calibri"/>
              </w:rPr>
            </w:pPr>
            <w:r w:rsidRPr="00FE4CB5">
              <w:rPr>
                <w:rFonts w:ascii="Calibri" w:hAnsi="Calibri" w:cs="Calibri"/>
              </w:rPr>
              <w:t>On the items in the table below, you state bid by the each, however the description describes these items as a pack (also called case) of 4 or 12, please clarify if we bid individual refills or if we bid the actual CASE, which would not be each.</w:t>
            </w:r>
          </w:p>
          <w:p w14:paraId="65B206BD" w14:textId="77777777" w:rsidR="00563C65" w:rsidRPr="00FE4CB5" w:rsidRDefault="00563C65" w:rsidP="00563C65">
            <w:pPr>
              <w:rPr>
                <w:rFonts w:ascii="Calibri" w:hAnsi="Calibri" w:cs="Calibri"/>
              </w:rPr>
            </w:pPr>
            <w:r w:rsidRPr="00FE4CB5">
              <w:rPr>
                <w:rFonts w:ascii="Calibri" w:hAnsi="Calibri" w:cs="Calibri"/>
              </w:rPr>
              <w:lastRenderedPageBreak/>
              <w:t>Liquid Hand Soap &amp; Dispensers</w:t>
            </w:r>
            <w:r w:rsidRPr="00FE4CB5">
              <w:rPr>
                <w:rFonts w:ascii="Calibri" w:hAnsi="Calibri" w:cs="Calibri"/>
              </w:rPr>
              <w:tab/>
              <w:t>Hand Soap,Cartridge,Foam,1250mL,PK4</w:t>
            </w:r>
          </w:p>
          <w:p w14:paraId="6496B040" w14:textId="79B974DF" w:rsidR="00563C65" w:rsidRPr="00FE4CB5" w:rsidRDefault="00563C65" w:rsidP="00563C65">
            <w:pPr>
              <w:rPr>
                <w:rFonts w:ascii="Calibri" w:hAnsi="Calibri" w:cs="Calibri"/>
              </w:rPr>
            </w:pPr>
            <w:r w:rsidRPr="00FE4CB5">
              <w:rPr>
                <w:rFonts w:ascii="Calibri" w:hAnsi="Calibri" w:cs="Calibri"/>
              </w:rPr>
              <w:t>Liquid Hand Soap &amp; Dispensers</w:t>
            </w:r>
            <w:r w:rsidRPr="00FE4CB5">
              <w:rPr>
                <w:rFonts w:ascii="Calibri" w:hAnsi="Calibri" w:cs="Calibri"/>
              </w:rPr>
              <w:tab/>
              <w:t>Hand Soap,Lotion,Refill,800 mL,PK12</w:t>
            </w:r>
          </w:p>
        </w:tc>
        <w:tc>
          <w:tcPr>
            <w:tcW w:w="2742" w:type="pct"/>
            <w:shd w:val="clear" w:color="auto" w:fill="auto"/>
          </w:tcPr>
          <w:p w14:paraId="03F4776C" w14:textId="0ADD13BB" w:rsidR="00C903BA" w:rsidRPr="00FE4CB5" w:rsidRDefault="00A7425A" w:rsidP="009056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lastRenderedPageBreak/>
              <w:t xml:space="preserve">On the bid sheet, column </w:t>
            </w:r>
            <w:r w:rsidR="00D368E9" w:rsidRPr="00FE4CB5">
              <w:rPr>
                <w:rFonts w:ascii="Calibri" w:hAnsi="Calibri" w:cs="Calibri"/>
              </w:rPr>
              <w:t>labeled</w:t>
            </w:r>
            <w:r w:rsidR="00D368E9" w:rsidRPr="00FE4CB5">
              <w:t xml:space="preserve"> </w:t>
            </w:r>
            <w:r w:rsidR="00D368E9" w:rsidRPr="00FE4CB5">
              <w:rPr>
                <w:rFonts w:ascii="Calibri" w:hAnsi="Calibri" w:cs="Calibri"/>
                <w:b/>
                <w:bCs/>
              </w:rPr>
              <w:t>Proposed  Number of Items Per UOM</w:t>
            </w:r>
            <w:r w:rsidR="00D368E9" w:rsidRPr="00FE4CB5">
              <w:rPr>
                <w:rFonts w:ascii="Calibri" w:hAnsi="Calibri" w:cs="Calibri"/>
              </w:rPr>
              <w:t xml:space="preserve"> </w:t>
            </w:r>
            <w:r w:rsidRPr="00FE4CB5">
              <w:rPr>
                <w:rFonts w:ascii="Calibri" w:hAnsi="Calibri" w:cs="Calibri"/>
              </w:rPr>
              <w:t xml:space="preserve">allows for different pack sizes to be submitted and column </w:t>
            </w:r>
            <w:r w:rsidR="00D368E9" w:rsidRPr="00FE4CB5">
              <w:rPr>
                <w:rFonts w:ascii="Calibri" w:hAnsi="Calibri" w:cs="Calibri"/>
              </w:rPr>
              <w:t xml:space="preserve">labeled </w:t>
            </w:r>
            <w:r w:rsidR="00D368E9" w:rsidRPr="00FE4CB5">
              <w:rPr>
                <w:rFonts w:ascii="Calibri" w:hAnsi="Calibri" w:cs="Calibri"/>
                <w:b/>
                <w:bCs/>
              </w:rPr>
              <w:t>Adjusted Volume (to</w:t>
            </w:r>
            <w:r w:rsidR="00D368E9" w:rsidRPr="00FE4CB5">
              <w:rPr>
                <w:rFonts w:ascii="Calibri" w:hAnsi="Calibri" w:cs="Calibri"/>
              </w:rPr>
              <w:t xml:space="preserve"> </w:t>
            </w:r>
            <w:r w:rsidR="00D368E9" w:rsidRPr="00FE4CB5">
              <w:rPr>
                <w:rFonts w:ascii="Calibri" w:hAnsi="Calibri" w:cs="Calibri"/>
                <w:b/>
                <w:bCs/>
              </w:rPr>
              <w:t>allow UOM</w:t>
            </w:r>
            <w:r w:rsidR="00D368E9" w:rsidRPr="00FE4CB5">
              <w:rPr>
                <w:rFonts w:ascii="Calibri" w:hAnsi="Calibri" w:cs="Calibri"/>
              </w:rPr>
              <w:t xml:space="preserve"> </w:t>
            </w:r>
            <w:r w:rsidR="00D368E9" w:rsidRPr="00FE4CB5">
              <w:rPr>
                <w:rFonts w:ascii="Calibri" w:hAnsi="Calibri" w:cs="Calibri"/>
                <w:b/>
                <w:bCs/>
              </w:rPr>
              <w:t>differences)</w:t>
            </w:r>
            <w:r w:rsidR="00D368E9" w:rsidRPr="00FE4CB5">
              <w:rPr>
                <w:rFonts w:ascii="Calibri" w:hAnsi="Calibri" w:cs="Calibri"/>
              </w:rPr>
              <w:t xml:space="preserve"> </w:t>
            </w:r>
            <w:r w:rsidRPr="00FE4CB5">
              <w:rPr>
                <w:rFonts w:ascii="Calibri" w:hAnsi="Calibri" w:cs="Calibri"/>
              </w:rPr>
              <w:t xml:space="preserve"> adjust the annual quantity based on the number in column</w:t>
            </w:r>
            <w:r w:rsidR="00D368E9" w:rsidRPr="00FE4CB5">
              <w:rPr>
                <w:rFonts w:ascii="Calibri" w:hAnsi="Calibri" w:cs="Calibri"/>
              </w:rPr>
              <w:t xml:space="preserve"> labeled </w:t>
            </w:r>
            <w:r w:rsidRPr="00FE4CB5">
              <w:rPr>
                <w:rFonts w:ascii="Calibri" w:hAnsi="Calibri" w:cs="Calibri"/>
              </w:rPr>
              <w:t xml:space="preserve"> </w:t>
            </w:r>
            <w:r w:rsidR="00D368E9" w:rsidRPr="00FE4CB5">
              <w:rPr>
                <w:rFonts w:ascii="Calibri" w:hAnsi="Calibri" w:cs="Calibri"/>
                <w:b/>
                <w:bCs/>
              </w:rPr>
              <w:t>Proposed  Number of Items Per UOM</w:t>
            </w:r>
          </w:p>
        </w:tc>
      </w:tr>
      <w:tr w:rsidR="00FE4CB5" w:rsidRPr="00FE4CB5" w14:paraId="02C9BBA5" w14:textId="77777777" w:rsidTr="00FE4CB5">
        <w:trPr>
          <w:trHeight w:val="288"/>
        </w:trPr>
        <w:tc>
          <w:tcPr>
            <w:tcW w:w="231" w:type="pct"/>
            <w:gridSpan w:val="3"/>
            <w:tcBorders>
              <w:right w:val="nil"/>
            </w:tcBorders>
          </w:tcPr>
          <w:p w14:paraId="19929D6B" w14:textId="77777777" w:rsidR="00C903BA" w:rsidRPr="00FE4CB5" w:rsidRDefault="00C903BA"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8ADE186" w14:textId="4B5AC071" w:rsidR="00C903BA" w:rsidRPr="00FE4CB5" w:rsidRDefault="00563C65" w:rsidP="002D1A69">
            <w:pPr>
              <w:rPr>
                <w:rFonts w:ascii="Calibri" w:hAnsi="Calibri" w:cs="Calibri"/>
              </w:rPr>
            </w:pPr>
            <w:r w:rsidRPr="00FE4CB5">
              <w:rPr>
                <w:rFonts w:ascii="Calibri" w:hAnsi="Calibri" w:cs="Calibri"/>
              </w:rPr>
              <w:t>On the excel sheet it states pricing does not need to include freight. Freight would be included separately. Our company can ship-to anywhere in Tennessee however there are parts of west Tennessee we will need to freight. Does this disqualify us from bidding as we offer competitive pricing and service still for the state.</w:t>
            </w:r>
          </w:p>
        </w:tc>
        <w:tc>
          <w:tcPr>
            <w:tcW w:w="2742" w:type="pct"/>
            <w:shd w:val="clear" w:color="auto" w:fill="auto"/>
          </w:tcPr>
          <w:p w14:paraId="31B18861" w14:textId="486075EE" w:rsidR="00C903BA" w:rsidRPr="00FE4CB5" w:rsidRDefault="00D521DB"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No</w:t>
            </w:r>
            <w:r w:rsidR="00163A65" w:rsidRPr="00FE4CB5">
              <w:rPr>
                <w:rFonts w:ascii="Calibri" w:hAnsi="Calibri" w:cs="Calibri"/>
              </w:rPr>
              <w:t>,</w:t>
            </w:r>
            <w:r w:rsidRPr="00FE4CB5">
              <w:rPr>
                <w:rFonts w:ascii="Calibri" w:hAnsi="Calibri" w:cs="Calibri"/>
              </w:rPr>
              <w:t xml:space="preserve"> it does  </w:t>
            </w:r>
            <w:r w:rsidR="00163A65" w:rsidRPr="00FE4CB5">
              <w:rPr>
                <w:rFonts w:ascii="Calibri" w:hAnsi="Calibri" w:cs="Calibri"/>
              </w:rPr>
              <w:t>not</w:t>
            </w:r>
            <w:r w:rsidR="00AE7882" w:rsidRPr="00FE4CB5">
              <w:rPr>
                <w:rFonts w:ascii="Calibri" w:hAnsi="Calibri" w:cs="Calibri"/>
              </w:rPr>
              <w:t xml:space="preserve"> disqualify a </w:t>
            </w:r>
            <w:r w:rsidR="00657734" w:rsidRPr="00FE4CB5">
              <w:rPr>
                <w:rFonts w:ascii="Calibri" w:hAnsi="Calibri" w:cs="Calibri"/>
              </w:rPr>
              <w:t>Respondent</w:t>
            </w:r>
            <w:r w:rsidR="00B2202E" w:rsidRPr="00FE4CB5">
              <w:rPr>
                <w:rFonts w:ascii="Calibri" w:hAnsi="Calibri" w:cs="Calibri"/>
              </w:rPr>
              <w:t>. F</w:t>
            </w:r>
            <w:r w:rsidRPr="00FE4CB5">
              <w:rPr>
                <w:rFonts w:ascii="Calibri" w:hAnsi="Calibri" w:cs="Calibri"/>
              </w:rPr>
              <w:t xml:space="preserve">reight </w:t>
            </w:r>
            <w:r w:rsidR="00657734" w:rsidRPr="00FE4CB5">
              <w:rPr>
                <w:rFonts w:ascii="Calibri" w:hAnsi="Calibri" w:cs="Calibri"/>
              </w:rPr>
              <w:t>shall</w:t>
            </w:r>
            <w:r w:rsidRPr="00FE4CB5">
              <w:rPr>
                <w:rFonts w:ascii="Calibri" w:hAnsi="Calibri" w:cs="Calibri"/>
              </w:rPr>
              <w:t xml:space="preserve"> be added</w:t>
            </w:r>
            <w:r w:rsidR="00AE7882" w:rsidRPr="00FE4CB5">
              <w:rPr>
                <w:rFonts w:ascii="Calibri" w:hAnsi="Calibri" w:cs="Calibri"/>
              </w:rPr>
              <w:t xml:space="preserve"> for orders if needed</w:t>
            </w:r>
            <w:r w:rsidRPr="00FE4CB5">
              <w:rPr>
                <w:rFonts w:ascii="Calibri" w:hAnsi="Calibri" w:cs="Calibri"/>
              </w:rPr>
              <w:t xml:space="preserve"> as needed per  section 10 of the specifications.</w:t>
            </w:r>
          </w:p>
        </w:tc>
      </w:tr>
      <w:tr w:rsidR="00FE4CB5" w:rsidRPr="00FE4CB5" w14:paraId="20EEC8AD" w14:textId="77777777" w:rsidTr="00FE4CB5">
        <w:trPr>
          <w:trHeight w:val="288"/>
        </w:trPr>
        <w:tc>
          <w:tcPr>
            <w:tcW w:w="231" w:type="pct"/>
            <w:gridSpan w:val="3"/>
            <w:tcBorders>
              <w:right w:val="nil"/>
            </w:tcBorders>
          </w:tcPr>
          <w:p w14:paraId="3D80E8F6" w14:textId="77777777" w:rsidR="00563C65" w:rsidRPr="00FE4CB5" w:rsidRDefault="00563C6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1575FDB6" w14:textId="07FEE11F" w:rsidR="00563C65" w:rsidRPr="00FE4CB5" w:rsidRDefault="00563C65" w:rsidP="002D1A69">
            <w:pPr>
              <w:rPr>
                <w:rFonts w:ascii="Calibri" w:hAnsi="Calibri" w:cs="Calibri"/>
              </w:rPr>
            </w:pPr>
            <w:r w:rsidRPr="00FE4CB5">
              <w:rPr>
                <w:rFonts w:ascii="Calibri" w:hAnsi="Calibri" w:cs="Calibri"/>
              </w:rPr>
              <w:t>Diversity Utilization. Please provide clarity on how much of the bid is weighted on our company utilizing a diversity partner. Is this required to participate?</w:t>
            </w:r>
          </w:p>
        </w:tc>
        <w:tc>
          <w:tcPr>
            <w:tcW w:w="2742" w:type="pct"/>
            <w:shd w:val="clear" w:color="auto" w:fill="auto"/>
          </w:tcPr>
          <w:p w14:paraId="6A92E883" w14:textId="38FAE204" w:rsidR="00563C65" w:rsidRPr="00FE4CB5" w:rsidRDefault="00657734"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The only diversity requirement for this Invitation to Bid is for Respondents to complete the Diversity Utilization Plan found in the Terms and Conditions. </w:t>
            </w:r>
            <w:r w:rsidR="006C65FF" w:rsidRPr="00FE4CB5">
              <w:rPr>
                <w:rFonts w:ascii="Calibri" w:hAnsi="Calibri" w:cs="Calibri"/>
              </w:rPr>
              <w:t xml:space="preserve">The diversity status of a </w:t>
            </w:r>
            <w:r w:rsidR="00840B52" w:rsidRPr="00FE4CB5">
              <w:rPr>
                <w:rFonts w:ascii="Calibri" w:hAnsi="Calibri" w:cs="Calibri"/>
              </w:rPr>
              <w:t>Respondent</w:t>
            </w:r>
            <w:r w:rsidR="006C65FF" w:rsidRPr="00FE4CB5">
              <w:rPr>
                <w:rFonts w:ascii="Calibri" w:hAnsi="Calibri" w:cs="Calibri"/>
              </w:rPr>
              <w:t xml:space="preserve"> is only used as </w:t>
            </w:r>
            <w:r w:rsidR="000A4ACA" w:rsidRPr="00FE4CB5">
              <w:rPr>
                <w:rFonts w:ascii="Calibri" w:hAnsi="Calibri" w:cs="Calibri"/>
              </w:rPr>
              <w:t xml:space="preserve">one possible </w:t>
            </w:r>
            <w:r w:rsidR="006C65FF" w:rsidRPr="00FE4CB5">
              <w:rPr>
                <w:rFonts w:ascii="Calibri" w:hAnsi="Calibri" w:cs="Calibri"/>
              </w:rPr>
              <w:t>tie breaker in the event that two bids match.</w:t>
            </w:r>
            <w:r w:rsidRPr="00FE4CB5">
              <w:rPr>
                <w:rFonts w:ascii="Calibri" w:hAnsi="Calibri" w:cs="Calibri"/>
              </w:rPr>
              <w:t xml:space="preserve"> </w:t>
            </w:r>
          </w:p>
        </w:tc>
      </w:tr>
      <w:tr w:rsidR="00FE4CB5" w:rsidRPr="00FE4CB5" w14:paraId="171E700D" w14:textId="77777777" w:rsidTr="00FE4CB5">
        <w:trPr>
          <w:trHeight w:val="288"/>
        </w:trPr>
        <w:tc>
          <w:tcPr>
            <w:tcW w:w="231" w:type="pct"/>
            <w:gridSpan w:val="3"/>
            <w:tcBorders>
              <w:right w:val="nil"/>
            </w:tcBorders>
          </w:tcPr>
          <w:p w14:paraId="589E0155" w14:textId="77777777" w:rsidR="00563C65" w:rsidRPr="00FE4CB5" w:rsidRDefault="00563C6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0A5F54B" w14:textId="67D678B0" w:rsidR="00563C65" w:rsidRPr="00FE4CB5" w:rsidRDefault="00563C65" w:rsidP="002D1A69">
            <w:pPr>
              <w:rPr>
                <w:rFonts w:ascii="Calibri" w:hAnsi="Calibri" w:cs="Calibri"/>
              </w:rPr>
            </w:pPr>
            <w:r w:rsidRPr="00FE4CB5">
              <w:rPr>
                <w:rFonts w:ascii="Calibri" w:hAnsi="Calibri" w:cs="Calibri"/>
              </w:rPr>
              <w:t>Lastly, there are many tabs of various items/segments. We intend to only bid on 1 or 2 total tabs since we do not sell all these types of items on certain tabs. Is this acceptable?</w:t>
            </w:r>
          </w:p>
        </w:tc>
        <w:tc>
          <w:tcPr>
            <w:tcW w:w="2742" w:type="pct"/>
            <w:shd w:val="clear" w:color="auto" w:fill="auto"/>
          </w:tcPr>
          <w:p w14:paraId="39C008CD" w14:textId="03311C5B" w:rsidR="00563C65" w:rsidRPr="00FE4CB5" w:rsidRDefault="00F14F96"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Yes,</w:t>
            </w:r>
            <w:r w:rsidR="00563C65" w:rsidRPr="00FE4CB5">
              <w:rPr>
                <w:rFonts w:ascii="Calibri" w:hAnsi="Calibri" w:cs="Calibri"/>
              </w:rPr>
              <w:t xml:space="preserve"> as long as all of the sub-categories under each tab </w:t>
            </w:r>
            <w:r w:rsidR="00657734" w:rsidRPr="00FE4CB5">
              <w:rPr>
                <w:rFonts w:ascii="Calibri" w:hAnsi="Calibri" w:cs="Calibri"/>
              </w:rPr>
              <w:t>the Respondent is</w:t>
            </w:r>
            <w:r w:rsidR="00AE7882" w:rsidRPr="00FE4CB5">
              <w:rPr>
                <w:rFonts w:ascii="Calibri" w:hAnsi="Calibri" w:cs="Calibri"/>
              </w:rPr>
              <w:t xml:space="preserve">  responding to </w:t>
            </w:r>
            <w:r w:rsidR="00563C65" w:rsidRPr="00FE4CB5">
              <w:rPr>
                <w:rFonts w:ascii="Calibri" w:hAnsi="Calibri" w:cs="Calibri"/>
              </w:rPr>
              <w:t>are bid.</w:t>
            </w:r>
          </w:p>
        </w:tc>
      </w:tr>
      <w:tr w:rsidR="00FE4CB5" w:rsidRPr="00FE4CB5" w14:paraId="73CB5B80" w14:textId="77777777" w:rsidTr="00FE4CB5">
        <w:trPr>
          <w:trHeight w:val="288"/>
        </w:trPr>
        <w:tc>
          <w:tcPr>
            <w:tcW w:w="231" w:type="pct"/>
            <w:gridSpan w:val="3"/>
            <w:tcBorders>
              <w:right w:val="nil"/>
            </w:tcBorders>
          </w:tcPr>
          <w:p w14:paraId="29591876" w14:textId="77777777" w:rsidR="00563C65" w:rsidRPr="00FE4CB5" w:rsidRDefault="00563C6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A0C22E2" w14:textId="5F933406" w:rsidR="00563C65" w:rsidRPr="00FE4CB5" w:rsidRDefault="009250ED" w:rsidP="002D1A69">
            <w:pPr>
              <w:rPr>
                <w:rFonts w:ascii="Calibri" w:hAnsi="Calibri" w:cs="Calibri"/>
              </w:rPr>
            </w:pPr>
            <w:r w:rsidRPr="00FE4CB5">
              <w:rPr>
                <w:rFonts w:ascii="Calibri" w:hAnsi="Calibri" w:cs="Calibri"/>
              </w:rPr>
              <w:t>Can you provide any manufacturer details (name or part number) for the descriptions provided?</w:t>
            </w:r>
          </w:p>
        </w:tc>
        <w:tc>
          <w:tcPr>
            <w:tcW w:w="2742" w:type="pct"/>
            <w:shd w:val="clear" w:color="auto" w:fill="auto"/>
          </w:tcPr>
          <w:p w14:paraId="1EA324E6" w14:textId="2070761F" w:rsidR="00563C65" w:rsidRPr="00FE4CB5" w:rsidRDefault="00163A65"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The </w:t>
            </w:r>
            <w:r w:rsidR="00840B52" w:rsidRPr="00FE4CB5">
              <w:rPr>
                <w:rFonts w:ascii="Calibri" w:hAnsi="Calibri" w:cs="Calibri"/>
              </w:rPr>
              <w:t>S</w:t>
            </w:r>
            <w:r w:rsidRPr="00FE4CB5">
              <w:rPr>
                <w:rFonts w:ascii="Calibri" w:hAnsi="Calibri" w:cs="Calibri"/>
              </w:rPr>
              <w:t xml:space="preserve">tate is not looking for a specific brand for any of the commodities listed. </w:t>
            </w:r>
          </w:p>
        </w:tc>
      </w:tr>
      <w:tr w:rsidR="00FE4CB5" w:rsidRPr="00FE4CB5" w14:paraId="5A2105A7" w14:textId="77777777" w:rsidTr="00FE4CB5">
        <w:trPr>
          <w:trHeight w:val="288"/>
        </w:trPr>
        <w:tc>
          <w:tcPr>
            <w:tcW w:w="231" w:type="pct"/>
            <w:gridSpan w:val="3"/>
            <w:tcBorders>
              <w:right w:val="nil"/>
            </w:tcBorders>
          </w:tcPr>
          <w:p w14:paraId="47EB803B" w14:textId="77777777" w:rsidR="00563C65" w:rsidRPr="00FE4CB5" w:rsidRDefault="00563C6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30A32044" w14:textId="45EFBB82" w:rsidR="00563C65" w:rsidRPr="00FE4CB5" w:rsidRDefault="009250ED" w:rsidP="002D1A69">
            <w:pPr>
              <w:rPr>
                <w:rFonts w:ascii="Calibri" w:hAnsi="Calibri" w:cs="Calibri"/>
              </w:rPr>
            </w:pPr>
            <w:r w:rsidRPr="00FE4CB5">
              <w:rPr>
                <w:rFonts w:ascii="Calibri" w:hAnsi="Calibri" w:cs="Calibri"/>
              </w:rPr>
              <w:t>If manufacturer details cannot be provided, is it ok to assume that a substitute part of equivalent functionality will work?</w:t>
            </w:r>
          </w:p>
        </w:tc>
        <w:tc>
          <w:tcPr>
            <w:tcW w:w="2742" w:type="pct"/>
            <w:shd w:val="clear" w:color="auto" w:fill="auto"/>
          </w:tcPr>
          <w:p w14:paraId="7D199975" w14:textId="6F51FCB2" w:rsidR="00563C65" w:rsidRPr="00AB7047" w:rsidRDefault="00D07DB8"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AB7047">
              <w:rPr>
                <w:rFonts w:ascii="Calibri" w:hAnsi="Calibri" w:cs="Calibri"/>
              </w:rPr>
              <w:t xml:space="preserve">The </w:t>
            </w:r>
            <w:r w:rsidR="00840B52" w:rsidRPr="00AB7047">
              <w:rPr>
                <w:rFonts w:ascii="Calibri" w:hAnsi="Calibri" w:cs="Calibri"/>
              </w:rPr>
              <w:t>S</w:t>
            </w:r>
            <w:r w:rsidRPr="00AB7047">
              <w:rPr>
                <w:rFonts w:ascii="Calibri" w:hAnsi="Calibri" w:cs="Calibri"/>
              </w:rPr>
              <w:t xml:space="preserve">tate is not looking for a specific brand for any of the commodities listed. Any product bid on the </w:t>
            </w:r>
            <w:r w:rsidR="00CA20AA">
              <w:rPr>
                <w:rFonts w:ascii="Calibri" w:hAnsi="Calibri" w:cs="Calibri"/>
              </w:rPr>
              <w:t>market basket</w:t>
            </w:r>
            <w:r w:rsidRPr="00AB7047">
              <w:rPr>
                <w:rFonts w:ascii="Calibri" w:hAnsi="Calibri" w:cs="Calibri"/>
              </w:rPr>
              <w:t xml:space="preserve"> items must be a national brand or an inhouse brand that is of equal to or better quality. </w:t>
            </w:r>
          </w:p>
        </w:tc>
      </w:tr>
      <w:tr w:rsidR="00FE4CB5" w:rsidRPr="00FE4CB5" w14:paraId="29207473" w14:textId="77777777" w:rsidTr="00FE4CB5">
        <w:trPr>
          <w:trHeight w:val="288"/>
        </w:trPr>
        <w:tc>
          <w:tcPr>
            <w:tcW w:w="231" w:type="pct"/>
            <w:gridSpan w:val="3"/>
            <w:tcBorders>
              <w:right w:val="nil"/>
            </w:tcBorders>
          </w:tcPr>
          <w:p w14:paraId="485BF580" w14:textId="77777777" w:rsidR="00563C65" w:rsidRPr="00FE4CB5" w:rsidRDefault="00563C65"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3D829D5A" w14:textId="2B8A4ACF" w:rsidR="009250ED" w:rsidRPr="00FE4CB5" w:rsidRDefault="009250ED" w:rsidP="002D1A69">
            <w:pPr>
              <w:rPr>
                <w:rFonts w:ascii="Calibri" w:hAnsi="Calibri" w:cs="Calibri"/>
              </w:rPr>
            </w:pPr>
            <w:r w:rsidRPr="00FE4CB5">
              <w:rPr>
                <w:rFonts w:ascii="Calibri" w:hAnsi="Calibri" w:cs="Calibri"/>
              </w:rPr>
              <w:t>There are some lines where the UOM listed is EA but the description calls out a package quantity. In these instances, does the one-year volume represent the package or a single item?</w:t>
            </w:r>
          </w:p>
          <w:p w14:paraId="56DB52DF" w14:textId="77777777" w:rsidR="009250ED" w:rsidRPr="00FE4CB5" w:rsidRDefault="009250ED" w:rsidP="002D1A69">
            <w:pPr>
              <w:rPr>
                <w:rFonts w:ascii="Calibri" w:hAnsi="Calibri" w:cs="Calibri"/>
              </w:rPr>
            </w:pPr>
            <w:r w:rsidRPr="00FE4CB5">
              <w:rPr>
                <w:rFonts w:ascii="Calibri" w:hAnsi="Calibri" w:cs="Calibri"/>
              </w:rPr>
              <w:t>o</w:t>
            </w:r>
            <w:r w:rsidRPr="00FE4CB5">
              <w:rPr>
                <w:rFonts w:ascii="Calibri" w:hAnsi="Calibri" w:cs="Calibri"/>
              </w:rPr>
              <w:tab/>
              <w:t>EX: Battery,Alkaline,AAA,Everyday,PK24    2800    EA    1 - Is this 2800 packs of 24 batteries or 2800 individual batteries?</w:t>
            </w:r>
          </w:p>
          <w:p w14:paraId="0AE60B37" w14:textId="3707124C" w:rsidR="00563C65" w:rsidRPr="00FE4CB5" w:rsidRDefault="009250ED" w:rsidP="002D1A69">
            <w:pPr>
              <w:rPr>
                <w:rFonts w:ascii="Calibri" w:hAnsi="Calibri" w:cs="Calibri"/>
              </w:rPr>
            </w:pPr>
            <w:r w:rsidRPr="00FE4CB5">
              <w:rPr>
                <w:rFonts w:ascii="Calibri" w:hAnsi="Calibri" w:cs="Calibri"/>
              </w:rPr>
              <w:lastRenderedPageBreak/>
              <w:t>o</w:t>
            </w:r>
            <w:r w:rsidRPr="00FE4CB5">
              <w:rPr>
                <w:rFonts w:ascii="Calibri" w:hAnsi="Calibri" w:cs="Calibri"/>
              </w:rPr>
              <w:tab/>
              <w:t>Disposable Gloves,Nitrile,XL,PK100          7,500     EA    1 - Is this 7500 boxes of disposable gloves or 7500 individual gloves?</w:t>
            </w:r>
          </w:p>
        </w:tc>
        <w:tc>
          <w:tcPr>
            <w:tcW w:w="2742" w:type="pct"/>
            <w:shd w:val="clear" w:color="auto" w:fill="auto"/>
          </w:tcPr>
          <w:p w14:paraId="3648FD0C" w14:textId="255AFFBC" w:rsidR="00563C65" w:rsidRPr="00FE4CB5" w:rsidRDefault="00430051"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lastRenderedPageBreak/>
              <w:t>The annual quantity listed represents the package</w:t>
            </w:r>
            <w:r w:rsidR="00840B52" w:rsidRPr="00FE4CB5">
              <w:rPr>
                <w:rFonts w:ascii="Calibri" w:hAnsi="Calibri" w:cs="Calibri"/>
              </w:rPr>
              <w:t xml:space="preserve"> count</w:t>
            </w:r>
            <w:r w:rsidRPr="00FE4CB5">
              <w:rPr>
                <w:rFonts w:ascii="Calibri" w:hAnsi="Calibri" w:cs="Calibri"/>
              </w:rPr>
              <w:t>.</w:t>
            </w:r>
          </w:p>
        </w:tc>
      </w:tr>
      <w:tr w:rsidR="00FE4CB5" w:rsidRPr="00FE4CB5" w14:paraId="6B9F4973" w14:textId="77777777" w:rsidTr="00FE4CB5">
        <w:trPr>
          <w:trHeight w:val="288"/>
        </w:trPr>
        <w:tc>
          <w:tcPr>
            <w:tcW w:w="231" w:type="pct"/>
            <w:gridSpan w:val="3"/>
            <w:tcBorders>
              <w:right w:val="nil"/>
            </w:tcBorders>
          </w:tcPr>
          <w:p w14:paraId="48FD30B3"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34420C3C" w14:textId="79B360CC" w:rsidR="00765453" w:rsidRPr="00FE4CB5" w:rsidRDefault="009250ED" w:rsidP="002D1A69">
            <w:pPr>
              <w:rPr>
                <w:rFonts w:ascii="Calibri" w:hAnsi="Calibri" w:cs="Calibri"/>
              </w:rPr>
            </w:pPr>
            <w:r w:rsidRPr="00FE4CB5">
              <w:rPr>
                <w:rFonts w:ascii="Calibri" w:hAnsi="Calibri" w:cs="Calibri"/>
              </w:rPr>
              <w:t>Seeking clarification on the Industrial Supplies sub-category tab as Racks, Shelves and Pneumatic Compressors, Tools, and Accessories Subcategories are not present in the Subcategory Catalog Discount listing of the corresponding tab.</w:t>
            </w:r>
          </w:p>
        </w:tc>
        <w:tc>
          <w:tcPr>
            <w:tcW w:w="2742" w:type="pct"/>
            <w:shd w:val="clear" w:color="auto" w:fill="auto"/>
          </w:tcPr>
          <w:p w14:paraId="64DC1F07" w14:textId="4F0A55FD" w:rsidR="00765453" w:rsidRPr="00FE4CB5" w:rsidRDefault="008B7458"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Warehouse racks are not within scope of this ITB. Pneumatic Compressors, Tools, and Accessories are covered under the hand tools category</w:t>
            </w:r>
            <w:r w:rsidR="00FD08B9" w:rsidRPr="00FE4CB5">
              <w:rPr>
                <w:rFonts w:ascii="Calibri" w:hAnsi="Calibri" w:cs="Calibri"/>
              </w:rPr>
              <w:t xml:space="preserve"> bid tab.</w:t>
            </w:r>
          </w:p>
        </w:tc>
      </w:tr>
      <w:tr w:rsidR="00FE4CB5" w:rsidRPr="00FE4CB5" w14:paraId="32A47BCB" w14:textId="77777777" w:rsidTr="00FE4CB5">
        <w:trPr>
          <w:trHeight w:val="288"/>
        </w:trPr>
        <w:tc>
          <w:tcPr>
            <w:tcW w:w="231" w:type="pct"/>
            <w:gridSpan w:val="3"/>
            <w:tcBorders>
              <w:right w:val="nil"/>
            </w:tcBorders>
          </w:tcPr>
          <w:p w14:paraId="05A06B92"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764B78E8" w14:textId="30C309CF" w:rsidR="00765453" w:rsidRPr="00FE4CB5" w:rsidRDefault="009250ED" w:rsidP="002D1A69">
            <w:pPr>
              <w:rPr>
                <w:rFonts w:ascii="Calibri" w:hAnsi="Calibri" w:cs="Calibri"/>
              </w:rPr>
            </w:pPr>
            <w:r w:rsidRPr="00FE4CB5">
              <w:rPr>
                <w:rFonts w:ascii="Calibri" w:hAnsi="Calibri" w:cs="Calibri"/>
              </w:rPr>
              <w:t>Seeking clarification on the Hand Tools sub-category tab as Tools and Equipment is not present on the Subcategory Catalog Discount listing of the corresponding tab</w:t>
            </w:r>
          </w:p>
        </w:tc>
        <w:tc>
          <w:tcPr>
            <w:tcW w:w="2742" w:type="pct"/>
            <w:shd w:val="clear" w:color="auto" w:fill="auto"/>
          </w:tcPr>
          <w:p w14:paraId="486A5750" w14:textId="515C69D7" w:rsidR="00765453" w:rsidRPr="00FE4CB5" w:rsidRDefault="00D5790E"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This has never been a sub-category and is covered by other sub-categories under both hand tools and industrial supplies tabs.</w:t>
            </w:r>
          </w:p>
        </w:tc>
      </w:tr>
      <w:tr w:rsidR="00FE4CB5" w:rsidRPr="00FE4CB5" w14:paraId="6DC9CF92" w14:textId="77777777" w:rsidTr="00FE4CB5">
        <w:trPr>
          <w:trHeight w:val="288"/>
        </w:trPr>
        <w:tc>
          <w:tcPr>
            <w:tcW w:w="231" w:type="pct"/>
            <w:gridSpan w:val="3"/>
            <w:tcBorders>
              <w:right w:val="nil"/>
            </w:tcBorders>
          </w:tcPr>
          <w:p w14:paraId="65BB29DD"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841F566" w14:textId="51700428" w:rsidR="00765453" w:rsidRPr="00FE4CB5" w:rsidRDefault="009250ED" w:rsidP="002D1A69">
            <w:pPr>
              <w:rPr>
                <w:rFonts w:ascii="Calibri" w:hAnsi="Calibri" w:cs="Calibri"/>
              </w:rPr>
            </w:pPr>
            <w:r w:rsidRPr="00FE4CB5">
              <w:rPr>
                <w:rFonts w:ascii="Calibri" w:hAnsi="Calibri" w:cs="Calibri"/>
              </w:rPr>
              <w:t>Seeking clarification on the Security sub-category tab as Door Sweep, Single Fin, 3 ft. L. is listed both as an item description and Subcategory for the requested line item. What is the proper Subcategory to use for Subcategory Catalog Discount?</w:t>
            </w:r>
          </w:p>
        </w:tc>
        <w:tc>
          <w:tcPr>
            <w:tcW w:w="2742" w:type="pct"/>
            <w:shd w:val="clear" w:color="auto" w:fill="auto"/>
          </w:tcPr>
          <w:p w14:paraId="75703C64" w14:textId="5738327E" w:rsidR="00765453" w:rsidRPr="00FE4CB5" w:rsidRDefault="007E66C0"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Door sweeps would be covered by Door Handles, Locks, and Accessories.</w:t>
            </w:r>
          </w:p>
        </w:tc>
      </w:tr>
      <w:tr w:rsidR="00FE4CB5" w:rsidRPr="00FE4CB5" w14:paraId="063CF1C4" w14:textId="77777777" w:rsidTr="00FE4CB5">
        <w:trPr>
          <w:trHeight w:val="288"/>
        </w:trPr>
        <w:tc>
          <w:tcPr>
            <w:tcW w:w="231" w:type="pct"/>
            <w:gridSpan w:val="3"/>
            <w:tcBorders>
              <w:right w:val="nil"/>
            </w:tcBorders>
          </w:tcPr>
          <w:p w14:paraId="67646C60"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129E9D95" w14:textId="4C20B6DA" w:rsidR="00765453" w:rsidRPr="00FE4CB5" w:rsidRDefault="009250ED" w:rsidP="002D1A69">
            <w:pPr>
              <w:rPr>
                <w:rFonts w:ascii="Calibri" w:hAnsi="Calibri" w:cs="Calibri"/>
              </w:rPr>
            </w:pPr>
            <w:r w:rsidRPr="00FE4CB5">
              <w:rPr>
                <w:rFonts w:ascii="Calibri" w:hAnsi="Calibri" w:cs="Calibri"/>
              </w:rPr>
              <w:t>Seeking clarification on the Plumbing sub-category tab as Toilets, Urinals and Repair Parts is not present on the Subcategory Catalog Discount listing of the corresponding tab.</w:t>
            </w:r>
          </w:p>
        </w:tc>
        <w:tc>
          <w:tcPr>
            <w:tcW w:w="2742" w:type="pct"/>
            <w:shd w:val="clear" w:color="auto" w:fill="auto"/>
          </w:tcPr>
          <w:p w14:paraId="6A101686" w14:textId="0B245484" w:rsidR="00765453" w:rsidRPr="00FE4CB5" w:rsidRDefault="00344E15"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Further clarification in the bid sheet has been made to cover repair parts.</w:t>
            </w:r>
          </w:p>
        </w:tc>
      </w:tr>
      <w:tr w:rsidR="00FE4CB5" w:rsidRPr="00FE4CB5" w14:paraId="49A30F81" w14:textId="77777777" w:rsidTr="00FE4CB5">
        <w:trPr>
          <w:trHeight w:val="288"/>
        </w:trPr>
        <w:tc>
          <w:tcPr>
            <w:tcW w:w="231" w:type="pct"/>
            <w:gridSpan w:val="3"/>
            <w:tcBorders>
              <w:right w:val="nil"/>
            </w:tcBorders>
          </w:tcPr>
          <w:p w14:paraId="5658AE0E"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31A2D59" w14:textId="11DBA167" w:rsidR="00765453" w:rsidRPr="00FE4CB5" w:rsidRDefault="0082726B" w:rsidP="002D1A69">
            <w:pPr>
              <w:rPr>
                <w:rFonts w:ascii="Calibri" w:hAnsi="Calibri" w:cs="Calibri"/>
              </w:rPr>
            </w:pPr>
            <w:r w:rsidRPr="00FE4CB5">
              <w:rPr>
                <w:rFonts w:ascii="Calibri" w:hAnsi="Calibri" w:cs="Calibri"/>
              </w:rPr>
              <w:t>Seeking clarification on which Subcategory the line items on the Plumbing Fixtures sub-category tab should reflect, none are currently listed.</w:t>
            </w:r>
          </w:p>
        </w:tc>
        <w:tc>
          <w:tcPr>
            <w:tcW w:w="2742" w:type="pct"/>
            <w:shd w:val="clear" w:color="auto" w:fill="auto"/>
          </w:tcPr>
          <w:p w14:paraId="3E4A7624" w14:textId="313BBFEE" w:rsidR="00765453" w:rsidRPr="00FE4CB5" w:rsidRDefault="00C45BDB"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Further clarification has been added to the plumbing tab</w:t>
            </w:r>
            <w:r w:rsidR="00034012" w:rsidRPr="00FE4CB5">
              <w:rPr>
                <w:rFonts w:ascii="Calibri" w:hAnsi="Calibri" w:cs="Calibri"/>
              </w:rPr>
              <w:t xml:space="preserve"> of the bid sheet.</w:t>
            </w:r>
          </w:p>
        </w:tc>
      </w:tr>
      <w:tr w:rsidR="00FE4CB5" w:rsidRPr="00FE4CB5" w14:paraId="56C82872" w14:textId="77777777" w:rsidTr="00FE4CB5">
        <w:trPr>
          <w:trHeight w:val="288"/>
        </w:trPr>
        <w:tc>
          <w:tcPr>
            <w:tcW w:w="231" w:type="pct"/>
            <w:gridSpan w:val="3"/>
            <w:tcBorders>
              <w:right w:val="nil"/>
            </w:tcBorders>
          </w:tcPr>
          <w:p w14:paraId="578AE080"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05D38650" w14:textId="3DF204C2" w:rsidR="00765453" w:rsidRPr="00FE4CB5" w:rsidRDefault="0082726B" w:rsidP="002D1A69">
            <w:pPr>
              <w:rPr>
                <w:rFonts w:ascii="Calibri" w:hAnsi="Calibri" w:cs="Calibri"/>
              </w:rPr>
            </w:pPr>
            <w:r w:rsidRPr="00FE4CB5">
              <w:rPr>
                <w:rFonts w:ascii="Calibri" w:hAnsi="Calibri" w:cs="Calibri"/>
              </w:rPr>
              <w:t>Seeking clarification on the Safety sub-category tab as “Safety Tape” is not present on the Subcategory Catalog Discount listing of the corresponding tab</w:t>
            </w:r>
          </w:p>
        </w:tc>
        <w:tc>
          <w:tcPr>
            <w:tcW w:w="2742" w:type="pct"/>
            <w:shd w:val="clear" w:color="auto" w:fill="auto"/>
          </w:tcPr>
          <w:p w14:paraId="1ED46F8D" w14:textId="49DE8F69" w:rsidR="00765453" w:rsidRPr="00FE4CB5" w:rsidRDefault="006F3701"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Safety Tapes </w:t>
            </w:r>
            <w:r w:rsidR="006B14F6" w:rsidRPr="00FE4CB5">
              <w:rPr>
                <w:rFonts w:ascii="Calibri" w:hAnsi="Calibri" w:cs="Calibri"/>
              </w:rPr>
              <w:t>are listed</w:t>
            </w:r>
            <w:r w:rsidRPr="00FE4CB5">
              <w:rPr>
                <w:rFonts w:ascii="Calibri" w:hAnsi="Calibri" w:cs="Calibri"/>
              </w:rPr>
              <w:t xml:space="preserve"> as a sub-category under S</w:t>
            </w:r>
            <w:r w:rsidR="006B14F6" w:rsidRPr="00FE4CB5">
              <w:rPr>
                <w:rFonts w:ascii="Calibri" w:hAnsi="Calibri" w:cs="Calibri"/>
              </w:rPr>
              <w:t>ecurity.</w:t>
            </w:r>
          </w:p>
        </w:tc>
      </w:tr>
      <w:tr w:rsidR="00FE4CB5" w:rsidRPr="00FE4CB5" w14:paraId="2FB86D66" w14:textId="77777777" w:rsidTr="00FE4CB5">
        <w:trPr>
          <w:trHeight w:val="288"/>
        </w:trPr>
        <w:tc>
          <w:tcPr>
            <w:tcW w:w="231" w:type="pct"/>
            <w:gridSpan w:val="3"/>
            <w:tcBorders>
              <w:right w:val="nil"/>
            </w:tcBorders>
          </w:tcPr>
          <w:p w14:paraId="5BDE2686"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7478C6C8" w14:textId="19B5CCA9" w:rsidR="00765453" w:rsidRPr="00FE4CB5" w:rsidRDefault="0082726B" w:rsidP="002D1A69">
            <w:pPr>
              <w:rPr>
                <w:rFonts w:ascii="Calibri" w:hAnsi="Calibri" w:cs="Calibri"/>
              </w:rPr>
            </w:pPr>
            <w:r w:rsidRPr="00FE4CB5">
              <w:rPr>
                <w:rFonts w:ascii="Calibri" w:hAnsi="Calibri" w:cs="Calibri"/>
              </w:rPr>
              <w:t>Seeking clarification on the Lighting sub-category tab as LED Lamps is not present on the Subcategory Catalog Discount listing of the corresponding tab.</w:t>
            </w:r>
          </w:p>
        </w:tc>
        <w:tc>
          <w:tcPr>
            <w:tcW w:w="2742" w:type="pct"/>
            <w:shd w:val="clear" w:color="auto" w:fill="auto"/>
          </w:tcPr>
          <w:p w14:paraId="586EDA45" w14:textId="61CE7F5B" w:rsidR="00765453" w:rsidRPr="00FE4CB5" w:rsidRDefault="00036612"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LED lamps and bulbs is a covered sub-category</w:t>
            </w:r>
            <w:r w:rsidR="00657734" w:rsidRPr="00FE4CB5">
              <w:rPr>
                <w:rFonts w:ascii="Calibri" w:hAnsi="Calibri" w:cs="Calibri"/>
              </w:rPr>
              <w:t xml:space="preserve"> under the lighting tab of the Evaluation Model</w:t>
            </w:r>
            <w:r w:rsidRPr="00FE4CB5">
              <w:rPr>
                <w:rFonts w:ascii="Calibri" w:hAnsi="Calibri" w:cs="Calibri"/>
              </w:rPr>
              <w:t>.</w:t>
            </w:r>
          </w:p>
        </w:tc>
      </w:tr>
      <w:tr w:rsidR="00FE4CB5" w:rsidRPr="00FE4CB5" w14:paraId="532E3369" w14:textId="77777777" w:rsidTr="00FE4CB5">
        <w:trPr>
          <w:trHeight w:val="288"/>
        </w:trPr>
        <w:tc>
          <w:tcPr>
            <w:tcW w:w="231" w:type="pct"/>
            <w:gridSpan w:val="3"/>
            <w:tcBorders>
              <w:right w:val="nil"/>
            </w:tcBorders>
          </w:tcPr>
          <w:p w14:paraId="769E2DC3" w14:textId="77777777" w:rsidR="00765453" w:rsidRPr="00FE4CB5" w:rsidRDefault="00765453"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D4E7CB0" w14:textId="6CDB7F28" w:rsidR="00765453" w:rsidRPr="00FE4CB5" w:rsidRDefault="0082726B" w:rsidP="002D1A69">
            <w:pPr>
              <w:rPr>
                <w:rFonts w:ascii="Calibri" w:hAnsi="Calibri" w:cs="Calibri"/>
              </w:rPr>
            </w:pPr>
            <w:r w:rsidRPr="00FE4CB5">
              <w:rPr>
                <w:rFonts w:ascii="Calibri" w:hAnsi="Calibri" w:cs="Calibri"/>
              </w:rPr>
              <w:t>Would the State consider a 30 day extension of the final submission deadline due to the holidays?</w:t>
            </w:r>
          </w:p>
        </w:tc>
        <w:tc>
          <w:tcPr>
            <w:tcW w:w="2742" w:type="pct"/>
            <w:shd w:val="clear" w:color="auto" w:fill="auto"/>
          </w:tcPr>
          <w:p w14:paraId="371246AD" w14:textId="45F1E89D" w:rsidR="00EB0FAC" w:rsidRPr="00FE4CB5" w:rsidRDefault="000179DD"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The State is not considering an extension at this time.</w:t>
            </w:r>
          </w:p>
        </w:tc>
      </w:tr>
      <w:tr w:rsidR="00FE4CB5" w:rsidRPr="00FE4CB5" w14:paraId="19D984FE" w14:textId="77777777" w:rsidTr="00FE4CB5">
        <w:trPr>
          <w:trHeight w:val="288"/>
        </w:trPr>
        <w:tc>
          <w:tcPr>
            <w:tcW w:w="231" w:type="pct"/>
            <w:gridSpan w:val="3"/>
            <w:tcBorders>
              <w:right w:val="nil"/>
            </w:tcBorders>
          </w:tcPr>
          <w:p w14:paraId="5544CC8F" w14:textId="77777777" w:rsidR="0082726B" w:rsidRPr="00FE4CB5" w:rsidRDefault="0082726B"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66BDB417" w14:textId="10E3FDE8" w:rsidR="0082726B" w:rsidRPr="00FE4CB5" w:rsidRDefault="0082726B" w:rsidP="002D1A69">
            <w:pPr>
              <w:rPr>
                <w:rFonts w:ascii="Calibri" w:hAnsi="Calibri" w:cs="Calibri"/>
              </w:rPr>
            </w:pPr>
            <w:r w:rsidRPr="00FE4CB5">
              <w:rPr>
                <w:rFonts w:ascii="Calibri" w:hAnsi="Calibri" w:cs="Calibri"/>
              </w:rPr>
              <w:t xml:space="preserve">We would like to clarify the State of Tennessee Administrative Fee by modifying the first sentence as follows: </w:t>
            </w:r>
          </w:p>
          <w:p w14:paraId="4B686211" w14:textId="16B2D643" w:rsidR="0082726B" w:rsidRPr="00FE4CB5" w:rsidRDefault="0082726B" w:rsidP="002D1A69">
            <w:pPr>
              <w:rPr>
                <w:rFonts w:ascii="Calibri" w:hAnsi="Calibri" w:cs="Calibri"/>
              </w:rPr>
            </w:pPr>
            <w:r w:rsidRPr="00FE4CB5">
              <w:rPr>
                <w:rFonts w:ascii="Calibri" w:hAnsi="Calibri" w:cs="Calibri"/>
              </w:rPr>
              <w:t>“A three percent (3%) administrative fee will be included in the cost of all goods and/or services (excluding tax, freight and returns) purchased under this Contract.”</w:t>
            </w:r>
          </w:p>
        </w:tc>
        <w:tc>
          <w:tcPr>
            <w:tcW w:w="2742" w:type="pct"/>
            <w:shd w:val="clear" w:color="auto" w:fill="auto"/>
          </w:tcPr>
          <w:p w14:paraId="7E86F107" w14:textId="07B4EA02" w:rsidR="0082726B" w:rsidRPr="00FE4CB5" w:rsidRDefault="001B646B"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An administrative fee will be due on all charges</w:t>
            </w:r>
            <w:r w:rsidR="00473AB7" w:rsidRPr="00FE4CB5">
              <w:rPr>
                <w:rFonts w:ascii="Calibri" w:hAnsi="Calibri" w:cs="Calibri"/>
              </w:rPr>
              <w:t xml:space="preserve"> associated with the contract</w:t>
            </w:r>
            <w:r w:rsidRPr="00FE4CB5">
              <w:rPr>
                <w:rFonts w:ascii="Calibri" w:hAnsi="Calibri" w:cs="Calibri"/>
              </w:rPr>
              <w:t xml:space="preserve">. </w:t>
            </w:r>
          </w:p>
        </w:tc>
      </w:tr>
      <w:tr w:rsidR="00FE4CB5" w:rsidRPr="00FE4CB5" w14:paraId="53EF1FAF" w14:textId="77777777" w:rsidTr="00FE4CB5">
        <w:trPr>
          <w:trHeight w:val="288"/>
        </w:trPr>
        <w:tc>
          <w:tcPr>
            <w:tcW w:w="231" w:type="pct"/>
            <w:gridSpan w:val="3"/>
            <w:tcBorders>
              <w:right w:val="nil"/>
            </w:tcBorders>
          </w:tcPr>
          <w:p w14:paraId="21C643D4" w14:textId="77777777" w:rsidR="0082726B" w:rsidRPr="00FE4CB5" w:rsidRDefault="0082726B"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E24D87B" w14:textId="565DE24F" w:rsidR="0082726B" w:rsidRPr="00FE4CB5" w:rsidRDefault="00E25587" w:rsidP="002D1A69">
            <w:pPr>
              <w:rPr>
                <w:rFonts w:ascii="Calibri" w:hAnsi="Calibri" w:cs="Calibri"/>
              </w:rPr>
            </w:pPr>
            <w:r w:rsidRPr="00FE4CB5">
              <w:rPr>
                <w:rFonts w:ascii="Calibri" w:hAnsi="Calibri" w:cs="Calibri"/>
              </w:rPr>
              <w:t>Can the State clarify whether Lubricant Products are within the industrial supplies solicited under ITB Event # 13033?</w:t>
            </w:r>
          </w:p>
        </w:tc>
        <w:tc>
          <w:tcPr>
            <w:tcW w:w="2742" w:type="pct"/>
            <w:shd w:val="clear" w:color="auto" w:fill="auto"/>
          </w:tcPr>
          <w:p w14:paraId="250F3902" w14:textId="77777777" w:rsidR="0082726B" w:rsidRPr="00FE4CB5" w:rsidRDefault="007464CE"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The lubricant sub-category has been added to the industrial supplies tab.</w:t>
            </w:r>
          </w:p>
          <w:p w14:paraId="7691D6EC" w14:textId="2F71351C" w:rsidR="007464CE" w:rsidRPr="00FE4CB5" w:rsidRDefault="007464CE"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r>
      <w:tr w:rsidR="00FE4CB5" w:rsidRPr="00FE4CB5" w14:paraId="12510E68" w14:textId="77777777" w:rsidTr="00FE4CB5">
        <w:trPr>
          <w:trHeight w:val="288"/>
        </w:trPr>
        <w:tc>
          <w:tcPr>
            <w:tcW w:w="231" w:type="pct"/>
            <w:gridSpan w:val="3"/>
            <w:tcBorders>
              <w:right w:val="nil"/>
            </w:tcBorders>
          </w:tcPr>
          <w:p w14:paraId="1F7E0E4A" w14:textId="77777777" w:rsidR="0082726B" w:rsidRPr="00FE4CB5" w:rsidRDefault="0082726B"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1F6FAE2" w14:textId="6D40A390" w:rsidR="0082726B" w:rsidRPr="00FE4CB5" w:rsidRDefault="00E25587" w:rsidP="002D1A69">
            <w:pPr>
              <w:rPr>
                <w:rFonts w:ascii="Calibri" w:hAnsi="Calibri" w:cs="Calibri"/>
              </w:rPr>
            </w:pPr>
            <w:r w:rsidRPr="00FE4CB5">
              <w:rPr>
                <w:rFonts w:ascii="Calibri" w:hAnsi="Calibri" w:cs="Calibri"/>
              </w:rPr>
              <w:t>What alternative purchasing vehicles can agencies pursue consistent with the best interests of the State of Tennessee?</w:t>
            </w:r>
          </w:p>
        </w:tc>
        <w:tc>
          <w:tcPr>
            <w:tcW w:w="2742" w:type="pct"/>
            <w:shd w:val="clear" w:color="auto" w:fill="auto"/>
          </w:tcPr>
          <w:p w14:paraId="3B038D50" w14:textId="035CE0F6" w:rsidR="0082726B" w:rsidRPr="00FE4CB5" w:rsidRDefault="00E652F7"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State of Tennessee agencies, if they deem it in their best interest, can use a variety of purchasing methods to purchase Industrial Supplies such as but not limited to their local purchasing authority, utilizing their State Purchasing Card, and/or issuing an sourcing event</w:t>
            </w:r>
            <w:r w:rsidR="000179DD" w:rsidRPr="00FE4CB5">
              <w:rPr>
                <w:rFonts w:ascii="Calibri" w:hAnsi="Calibri" w:cs="Calibri"/>
              </w:rPr>
              <w:t xml:space="preserve"> to establish an agency term contract</w:t>
            </w:r>
            <w:r w:rsidRPr="00FE4CB5">
              <w:rPr>
                <w:rFonts w:ascii="Calibri" w:hAnsi="Calibri" w:cs="Calibri"/>
              </w:rPr>
              <w:t>.</w:t>
            </w:r>
          </w:p>
        </w:tc>
      </w:tr>
      <w:tr w:rsidR="00FE4CB5" w:rsidRPr="00FE4CB5" w14:paraId="17F652F2" w14:textId="77777777" w:rsidTr="00FE4CB5">
        <w:trPr>
          <w:trHeight w:val="288"/>
        </w:trPr>
        <w:tc>
          <w:tcPr>
            <w:tcW w:w="231" w:type="pct"/>
            <w:gridSpan w:val="3"/>
            <w:tcBorders>
              <w:right w:val="nil"/>
            </w:tcBorders>
          </w:tcPr>
          <w:p w14:paraId="6168875C"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A491492" w14:textId="77777777" w:rsidR="007E725D" w:rsidRPr="00FE4CB5" w:rsidRDefault="00E25587" w:rsidP="002D1A69">
            <w:pPr>
              <w:rPr>
                <w:rFonts w:ascii="Calibri" w:hAnsi="Calibri" w:cs="Calibri"/>
              </w:rPr>
            </w:pPr>
            <w:r w:rsidRPr="00FE4CB5">
              <w:rPr>
                <w:rFonts w:ascii="Calibri" w:hAnsi="Calibri" w:cs="Calibri"/>
              </w:rPr>
              <w:t>Several Subcategory examples of products not allowed to be sold appear to conflict with the ITB # 13033 Workbook Subcategories within the 8 Categories. (The Subcategory list is also provided in the New Categories document.) For example:</w:t>
            </w:r>
          </w:p>
          <w:p w14:paraId="021DBD07" w14:textId="59B3CD4F" w:rsidR="00E25587" w:rsidRPr="00FE4CB5" w:rsidRDefault="00E25587" w:rsidP="002D1A69">
            <w:pPr>
              <w:rPr>
                <w:rFonts w:ascii="Calibri" w:hAnsi="Calibri" w:cs="Calibri"/>
              </w:rPr>
            </w:pPr>
            <w:r w:rsidRPr="00FE4CB5">
              <w:rPr>
                <w:rFonts w:ascii="Calibri" w:hAnsi="Calibri" w:cs="Calibri"/>
              </w:rPr>
              <w:t>Within the Commercial Cleaning &amp; Janitorial Sub-categories to be provided under the awarded contract are Liquid Hand Soap &amp; Dispensers. Liquid Hand Soap and related sanitization products are often characterized as “Personal Care Products” which under Section 4 of the General Specification for Industrial Suppliers, cannot be sold under the Contract.</w:t>
            </w:r>
          </w:p>
        </w:tc>
        <w:tc>
          <w:tcPr>
            <w:tcW w:w="2742" w:type="pct"/>
            <w:shd w:val="clear" w:color="auto" w:fill="auto"/>
          </w:tcPr>
          <w:p w14:paraId="49E95889" w14:textId="51F7AE5D" w:rsidR="007E725D" w:rsidRPr="00FE4CB5" w:rsidRDefault="00CB342A"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Under the scope of this contract the majority of the product categories relate to building maintenance</w:t>
            </w:r>
            <w:r w:rsidR="003E59A9" w:rsidRPr="00FE4CB5">
              <w:rPr>
                <w:rFonts w:ascii="Calibri" w:hAnsi="Calibri" w:cs="Calibri"/>
              </w:rPr>
              <w:t>/operation</w:t>
            </w:r>
            <w:r w:rsidRPr="00FE4CB5">
              <w:rPr>
                <w:rFonts w:ascii="Calibri" w:hAnsi="Calibri" w:cs="Calibri"/>
              </w:rPr>
              <w:t xml:space="preserve"> and most items outside of this scope are covered by other SWC’s.</w:t>
            </w:r>
            <w:r w:rsidR="00D72D66" w:rsidRPr="00FE4CB5">
              <w:rPr>
                <w:rFonts w:ascii="Calibri" w:hAnsi="Calibri" w:cs="Calibri"/>
              </w:rPr>
              <w:t xml:space="preserve"> Some </w:t>
            </w:r>
            <w:r w:rsidR="00840B52" w:rsidRPr="00FE4CB5">
              <w:rPr>
                <w:rFonts w:ascii="Calibri" w:hAnsi="Calibri" w:cs="Calibri"/>
              </w:rPr>
              <w:t>supplier</w:t>
            </w:r>
            <w:r w:rsidR="00D72D66" w:rsidRPr="00FE4CB5">
              <w:rPr>
                <w:rFonts w:ascii="Calibri" w:hAnsi="Calibri" w:cs="Calibri"/>
              </w:rPr>
              <w:t>r categories may be vastly broad in scope to cover as many items as possible and those additional items do not apply in this case.</w:t>
            </w:r>
          </w:p>
        </w:tc>
      </w:tr>
      <w:tr w:rsidR="00FE4CB5" w:rsidRPr="00FE4CB5" w14:paraId="223BFC78" w14:textId="77777777" w:rsidTr="00FE4CB5">
        <w:trPr>
          <w:trHeight w:val="288"/>
        </w:trPr>
        <w:tc>
          <w:tcPr>
            <w:tcW w:w="231" w:type="pct"/>
            <w:gridSpan w:val="3"/>
            <w:tcBorders>
              <w:right w:val="nil"/>
            </w:tcBorders>
          </w:tcPr>
          <w:p w14:paraId="169A8978"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0DD5558" w14:textId="77777777" w:rsidR="007E725D" w:rsidRPr="00FE4CB5" w:rsidRDefault="00E25587" w:rsidP="002D1A69">
            <w:pPr>
              <w:rPr>
                <w:rFonts w:ascii="Calibri" w:hAnsi="Calibri" w:cs="Calibri"/>
              </w:rPr>
            </w:pPr>
            <w:r w:rsidRPr="00FE4CB5">
              <w:rPr>
                <w:rFonts w:ascii="Calibri" w:hAnsi="Calibri" w:cs="Calibri"/>
              </w:rPr>
              <w:t xml:space="preserve">Several Subcategory examples of products not allowed to be sold appear </w:t>
            </w:r>
            <w:r w:rsidRPr="00FE4CB5">
              <w:rPr>
                <w:rFonts w:ascii="Calibri" w:hAnsi="Calibri" w:cs="Calibri"/>
              </w:rPr>
              <w:lastRenderedPageBreak/>
              <w:t>to conflict with the ITB # 13033 Workbook Subcategories within the 8 Categories. (The Subcategory list is also provided in the New Categories document.) For example:</w:t>
            </w:r>
          </w:p>
          <w:p w14:paraId="41987E09" w14:textId="29450249" w:rsidR="00E25587" w:rsidRPr="00FE4CB5" w:rsidRDefault="00E25587" w:rsidP="002D1A69">
            <w:pPr>
              <w:rPr>
                <w:rFonts w:ascii="Calibri" w:hAnsi="Calibri" w:cs="Calibri"/>
              </w:rPr>
            </w:pPr>
            <w:r w:rsidRPr="00FE4CB5">
              <w:rPr>
                <w:rFonts w:ascii="Calibri" w:hAnsi="Calibri" w:cs="Calibri"/>
              </w:rPr>
              <w:t>Within the Commercial Cleaning &amp; Janitorial Sub-categories provided under the awarded contract are Industrial Cleaners, which are routinely used by automotive maintenance garages across the government and commercial sectors and frequently purchased via an Industrial Supplies agreement. Yet “Automotive Products,” which is not defined, cannot be sold under Section 4 of the General Specification for Industrial Suppliers.</w:t>
            </w:r>
          </w:p>
        </w:tc>
        <w:tc>
          <w:tcPr>
            <w:tcW w:w="2742" w:type="pct"/>
            <w:shd w:val="clear" w:color="auto" w:fill="auto"/>
          </w:tcPr>
          <w:p w14:paraId="2FCA1031" w14:textId="77777777" w:rsidR="007E725D" w:rsidRPr="00FE4CB5" w:rsidRDefault="007E725D"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p w14:paraId="17422108" w14:textId="53299BDF" w:rsidR="00870153" w:rsidRPr="00FE4CB5" w:rsidRDefault="00870153" w:rsidP="002D1A69">
            <w:pPr>
              <w:rPr>
                <w:rFonts w:ascii="Calibri" w:hAnsi="Calibri" w:cs="Calibri"/>
              </w:rPr>
            </w:pPr>
            <w:r w:rsidRPr="00FE4CB5">
              <w:rPr>
                <w:rFonts w:ascii="Calibri" w:hAnsi="Calibri" w:cs="Calibri"/>
              </w:rPr>
              <w:lastRenderedPageBreak/>
              <w:t>Under the scope of this contract the majority of the product categories relate to building maintenance</w:t>
            </w:r>
            <w:r w:rsidR="00A46153" w:rsidRPr="00FE4CB5">
              <w:rPr>
                <w:rFonts w:ascii="Calibri" w:hAnsi="Calibri" w:cs="Calibri"/>
              </w:rPr>
              <w:t>/operation</w:t>
            </w:r>
            <w:r w:rsidRPr="00FE4CB5">
              <w:rPr>
                <w:rFonts w:ascii="Calibri" w:hAnsi="Calibri" w:cs="Calibri"/>
              </w:rPr>
              <w:t xml:space="preserve"> and most items outside of this scope are covered by other SWC’s. In this case anything automotive based is covered under SWC204 for automotive supplies.</w:t>
            </w:r>
          </w:p>
          <w:p w14:paraId="1227F704" w14:textId="27663669" w:rsidR="00870153" w:rsidRPr="00FE4CB5" w:rsidRDefault="00870153" w:rsidP="002D1A69">
            <w:pPr>
              <w:jc w:val="center"/>
              <w:rPr>
                <w:rFonts w:ascii="Calibri" w:hAnsi="Calibri" w:cs="Calibri"/>
              </w:rPr>
            </w:pPr>
          </w:p>
        </w:tc>
      </w:tr>
      <w:tr w:rsidR="00FE4CB5" w:rsidRPr="00FE4CB5" w14:paraId="67F0ECB1" w14:textId="77777777" w:rsidTr="00FE4CB5">
        <w:trPr>
          <w:trHeight w:val="288"/>
        </w:trPr>
        <w:tc>
          <w:tcPr>
            <w:tcW w:w="231" w:type="pct"/>
            <w:gridSpan w:val="3"/>
            <w:tcBorders>
              <w:right w:val="nil"/>
            </w:tcBorders>
          </w:tcPr>
          <w:p w14:paraId="0926D28D"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30891FE2" w14:textId="77777777" w:rsidR="00E25587" w:rsidRPr="00FE4CB5" w:rsidRDefault="00E25587" w:rsidP="002D1A69">
            <w:pPr>
              <w:rPr>
                <w:rFonts w:ascii="Calibri" w:hAnsi="Calibri" w:cs="Calibri"/>
              </w:rPr>
            </w:pPr>
            <w:r w:rsidRPr="00FE4CB5">
              <w:rPr>
                <w:rFonts w:ascii="Calibri" w:hAnsi="Calibri" w:cs="Calibri"/>
              </w:rPr>
              <w:t>Several Subcategory examples of products not allowed to be sold appear to conflict with the ITB # 13033 Workbook Subcategories within the 8 Categories. (The Subcategory list is also provided in the New Categories document.) For example:</w:t>
            </w:r>
          </w:p>
          <w:p w14:paraId="0147E395" w14:textId="0203DAB9" w:rsidR="00E25587" w:rsidRPr="00FE4CB5" w:rsidRDefault="00E25587" w:rsidP="002D1A69">
            <w:pPr>
              <w:rPr>
                <w:rFonts w:ascii="Calibri" w:hAnsi="Calibri" w:cs="Calibri"/>
              </w:rPr>
            </w:pPr>
            <w:r w:rsidRPr="00FE4CB5">
              <w:rPr>
                <w:rFonts w:ascii="Calibri" w:hAnsi="Calibri" w:cs="Calibri"/>
              </w:rPr>
              <w:t>•</w:t>
            </w:r>
            <w:r w:rsidRPr="00FE4CB5">
              <w:rPr>
                <w:rFonts w:ascii="Calibri" w:hAnsi="Calibri" w:cs="Calibri"/>
              </w:rPr>
              <w:tab/>
              <w:t xml:space="preserve">Within the Industrial Hand Tools/Supplies Sub-categories to be provided under the awarded contract are chains and ratchet sets, drill bits, hand tools, landscaping hand tools, power tools and accessories and saw blades. Each of these product segments support Forestry and Agriculture responsibilities, particularly wildland firefighting </w:t>
            </w:r>
          </w:p>
          <w:p w14:paraId="316817A8" w14:textId="3DF27444" w:rsidR="007E725D" w:rsidRPr="00FE4CB5" w:rsidRDefault="00E25587" w:rsidP="002D1A69">
            <w:pPr>
              <w:rPr>
                <w:rFonts w:ascii="Calibri" w:hAnsi="Calibri" w:cs="Calibri"/>
              </w:rPr>
            </w:pPr>
            <w:r w:rsidRPr="00FE4CB5">
              <w:rPr>
                <w:rFonts w:ascii="Calibri" w:hAnsi="Calibri" w:cs="Calibri"/>
              </w:rPr>
              <w:t>equipment or forest management work, that under Section 4 of the General Specification for Industrial Suppliers, cannot be sold under the Contract.</w:t>
            </w:r>
          </w:p>
        </w:tc>
        <w:tc>
          <w:tcPr>
            <w:tcW w:w="2742" w:type="pct"/>
            <w:shd w:val="clear" w:color="auto" w:fill="auto"/>
          </w:tcPr>
          <w:p w14:paraId="016056DC" w14:textId="75653E28" w:rsidR="007E725D" w:rsidRPr="00FE4CB5" w:rsidRDefault="00563CE9"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Under the scope of this contract the majority of the product categories relate to building maintenance</w:t>
            </w:r>
            <w:r w:rsidR="00A46153" w:rsidRPr="00FE4CB5">
              <w:rPr>
                <w:rFonts w:ascii="Calibri" w:hAnsi="Calibri" w:cs="Calibri"/>
              </w:rPr>
              <w:t>/operation</w:t>
            </w:r>
            <w:r w:rsidRPr="00FE4CB5">
              <w:rPr>
                <w:rFonts w:ascii="Calibri" w:hAnsi="Calibri" w:cs="Calibri"/>
              </w:rPr>
              <w:t xml:space="preserve"> and most items outside of this scope are covered by other SWC’s. Some items may have a cross over purpose for various contracts and in this case, this ITB does not cover Forestry </w:t>
            </w:r>
            <w:r w:rsidR="00840B52" w:rsidRPr="00FE4CB5">
              <w:rPr>
                <w:rFonts w:ascii="Calibri" w:hAnsi="Calibri" w:cs="Calibri"/>
              </w:rPr>
              <w:t>S</w:t>
            </w:r>
            <w:r w:rsidRPr="00FE4CB5">
              <w:rPr>
                <w:rFonts w:ascii="Calibri" w:hAnsi="Calibri" w:cs="Calibri"/>
              </w:rPr>
              <w:t>upplies as a whole which are cove</w:t>
            </w:r>
            <w:r w:rsidR="00473AB7" w:rsidRPr="00FE4CB5">
              <w:rPr>
                <w:rFonts w:ascii="Calibri" w:hAnsi="Calibri" w:cs="Calibri"/>
              </w:rPr>
              <w:t>re</w:t>
            </w:r>
            <w:r w:rsidRPr="00FE4CB5">
              <w:rPr>
                <w:rFonts w:ascii="Calibri" w:hAnsi="Calibri" w:cs="Calibri"/>
              </w:rPr>
              <w:t xml:space="preserve">d by another SWC. </w:t>
            </w:r>
          </w:p>
        </w:tc>
      </w:tr>
      <w:tr w:rsidR="00FE4CB5" w:rsidRPr="00FE4CB5" w14:paraId="6D898239" w14:textId="77777777" w:rsidTr="00FE4CB5">
        <w:trPr>
          <w:trHeight w:val="288"/>
        </w:trPr>
        <w:tc>
          <w:tcPr>
            <w:tcW w:w="231" w:type="pct"/>
            <w:gridSpan w:val="3"/>
            <w:tcBorders>
              <w:right w:val="nil"/>
            </w:tcBorders>
          </w:tcPr>
          <w:p w14:paraId="6565327A"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1263CDC6" w14:textId="77777777" w:rsidR="00E25587" w:rsidRPr="00FE4CB5" w:rsidRDefault="00E25587" w:rsidP="002D1A69">
            <w:pPr>
              <w:rPr>
                <w:rFonts w:ascii="Calibri" w:hAnsi="Calibri" w:cs="Calibri"/>
              </w:rPr>
            </w:pPr>
            <w:r w:rsidRPr="00FE4CB5">
              <w:rPr>
                <w:rFonts w:ascii="Calibri" w:hAnsi="Calibri" w:cs="Calibri"/>
              </w:rPr>
              <w:t xml:space="preserve">Several Subcategory examples of products not allowed to be sold appear to conflict with the ITB # 13033 </w:t>
            </w:r>
            <w:r w:rsidRPr="00FE4CB5">
              <w:rPr>
                <w:rFonts w:ascii="Calibri" w:hAnsi="Calibri" w:cs="Calibri"/>
              </w:rPr>
              <w:lastRenderedPageBreak/>
              <w:t>Workbook Subcategories within the 8 Categories. (The Subcategory list is also provided in the New Categories document.) For example:</w:t>
            </w:r>
          </w:p>
          <w:p w14:paraId="764E5F57" w14:textId="25A8F974" w:rsidR="007E725D" w:rsidRPr="00FE4CB5" w:rsidRDefault="00E25587" w:rsidP="002D1A69">
            <w:pPr>
              <w:rPr>
                <w:rFonts w:ascii="Calibri" w:hAnsi="Calibri" w:cs="Calibri"/>
              </w:rPr>
            </w:pPr>
            <w:r w:rsidRPr="00FE4CB5">
              <w:rPr>
                <w:rFonts w:ascii="Calibri" w:hAnsi="Calibri" w:cs="Calibri"/>
              </w:rPr>
              <w:t>Within the Security Sub-categories to be provided under the contract are Lock Boxes &amp; Key Cabinets. Yet Safes under Section 4 of the General Specification for Industrial Suppliers, cannot be sold under the Contract presenting a challenge to discern the difference between Lock Boxes and Key Cabinets and Safes.</w:t>
            </w:r>
          </w:p>
        </w:tc>
        <w:tc>
          <w:tcPr>
            <w:tcW w:w="2742" w:type="pct"/>
            <w:shd w:val="clear" w:color="auto" w:fill="auto"/>
          </w:tcPr>
          <w:p w14:paraId="37AC7176" w14:textId="1F9E38C8" w:rsidR="007E725D" w:rsidRPr="00FE4CB5" w:rsidRDefault="00322641"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lastRenderedPageBreak/>
              <w:t xml:space="preserve">Safes </w:t>
            </w:r>
            <w:r w:rsidR="00657734" w:rsidRPr="00FE4CB5">
              <w:rPr>
                <w:rFonts w:ascii="Calibri" w:hAnsi="Calibri" w:cs="Calibri"/>
              </w:rPr>
              <w:t>needs differ across</w:t>
            </w:r>
            <w:r w:rsidRPr="00FE4CB5">
              <w:rPr>
                <w:rFonts w:ascii="Calibri" w:hAnsi="Calibri" w:cs="Calibri"/>
              </w:rPr>
              <w:t xml:space="preserve"> agenc</w:t>
            </w:r>
            <w:r w:rsidR="00657734" w:rsidRPr="00FE4CB5">
              <w:rPr>
                <w:rFonts w:ascii="Calibri" w:hAnsi="Calibri" w:cs="Calibri"/>
              </w:rPr>
              <w:t>ies</w:t>
            </w:r>
            <w:r w:rsidRPr="00FE4CB5">
              <w:rPr>
                <w:rFonts w:ascii="Calibri" w:hAnsi="Calibri" w:cs="Calibri"/>
              </w:rPr>
              <w:t xml:space="preserve"> a</w:t>
            </w:r>
            <w:r w:rsidR="00FA290E" w:rsidRPr="00FE4CB5">
              <w:rPr>
                <w:rFonts w:ascii="Calibri" w:hAnsi="Calibri" w:cs="Calibri"/>
              </w:rPr>
              <w:t xml:space="preserve">nd thus left up to the agencies to source as needed. </w:t>
            </w:r>
            <w:r w:rsidR="00657734" w:rsidRPr="00FE4CB5">
              <w:rPr>
                <w:rFonts w:ascii="Calibri" w:hAnsi="Calibri" w:cs="Calibri"/>
              </w:rPr>
              <w:t xml:space="preserve">Please see edits to the Specifications surrounding safes. </w:t>
            </w:r>
          </w:p>
        </w:tc>
      </w:tr>
      <w:tr w:rsidR="00FE4CB5" w:rsidRPr="00FE4CB5" w14:paraId="66139FF3" w14:textId="77777777" w:rsidTr="00FE4CB5">
        <w:trPr>
          <w:trHeight w:val="288"/>
        </w:trPr>
        <w:tc>
          <w:tcPr>
            <w:tcW w:w="231" w:type="pct"/>
            <w:gridSpan w:val="3"/>
            <w:tcBorders>
              <w:right w:val="nil"/>
            </w:tcBorders>
          </w:tcPr>
          <w:p w14:paraId="13357250"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6B7FF1DA" w14:textId="77777777" w:rsidR="00E25587" w:rsidRPr="00FE4CB5" w:rsidRDefault="00E25587" w:rsidP="002D1A69">
            <w:pPr>
              <w:rPr>
                <w:rFonts w:ascii="Calibri" w:hAnsi="Calibri" w:cs="Calibri"/>
              </w:rPr>
            </w:pPr>
            <w:r w:rsidRPr="00FE4CB5">
              <w:rPr>
                <w:rFonts w:ascii="Calibri" w:hAnsi="Calibri" w:cs="Calibri"/>
              </w:rPr>
              <w:t>Several Subcategory examples of products not allowed to be sold appear to conflict with the ITB # 13033 Workbook Subcategories within the 8 Categories. (The Subcategory list is also provided in the New Categories document.) For example:</w:t>
            </w:r>
          </w:p>
          <w:p w14:paraId="046F2662" w14:textId="028CCC18" w:rsidR="007E725D" w:rsidRPr="00FE4CB5" w:rsidRDefault="00E25587" w:rsidP="002D1A69">
            <w:pPr>
              <w:rPr>
                <w:rFonts w:ascii="Calibri" w:hAnsi="Calibri" w:cs="Calibri"/>
              </w:rPr>
            </w:pPr>
            <w:r w:rsidRPr="00FE4CB5">
              <w:rPr>
                <w:rFonts w:ascii="Calibri" w:hAnsi="Calibri" w:cs="Calibri"/>
              </w:rPr>
              <w:t>•</w:t>
            </w:r>
            <w:r w:rsidRPr="00FE4CB5">
              <w:rPr>
                <w:rFonts w:ascii="Calibri" w:hAnsi="Calibri" w:cs="Calibri"/>
              </w:rPr>
              <w:tab/>
              <w:t>Within the Safety Sub-categories to be provided under the awarded contract are hearing protection, eye-wash &amp; drench shower, fall protection products as well as hard hats and accessories and non-disposable gloves. Each of these Sub-categories are used by every industrial sector, including forestry and agriculture. Yet, under Section 4 of the General Specification for Industrial Suppliers, cannot be sold under the Contract to support forestry and agriculture work.</w:t>
            </w:r>
          </w:p>
        </w:tc>
        <w:tc>
          <w:tcPr>
            <w:tcW w:w="2742" w:type="pct"/>
            <w:shd w:val="clear" w:color="auto" w:fill="auto"/>
          </w:tcPr>
          <w:p w14:paraId="37201D5F" w14:textId="4D5F8E13" w:rsidR="007E725D" w:rsidRPr="00FE4CB5" w:rsidRDefault="00742BE1"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Under the scope of this contract the majority of the product categories relate to building maintenance</w:t>
            </w:r>
            <w:r w:rsidR="00B2348C" w:rsidRPr="00FE4CB5">
              <w:rPr>
                <w:rFonts w:ascii="Calibri" w:hAnsi="Calibri" w:cs="Calibri"/>
              </w:rPr>
              <w:t>/operation</w:t>
            </w:r>
            <w:r w:rsidRPr="00FE4CB5">
              <w:rPr>
                <w:rFonts w:ascii="Calibri" w:hAnsi="Calibri" w:cs="Calibri"/>
              </w:rPr>
              <w:t xml:space="preserve"> and most items outside of this scope are covered by other SWC’s. Some items may have a cross over purpose for various contracts and in this case, this ITB does not cover Forestry </w:t>
            </w:r>
            <w:r w:rsidR="00840B52" w:rsidRPr="00FE4CB5">
              <w:rPr>
                <w:rFonts w:ascii="Calibri" w:hAnsi="Calibri" w:cs="Calibri"/>
              </w:rPr>
              <w:t>S</w:t>
            </w:r>
            <w:r w:rsidRPr="00FE4CB5">
              <w:rPr>
                <w:rFonts w:ascii="Calibri" w:hAnsi="Calibri" w:cs="Calibri"/>
              </w:rPr>
              <w:t>upplies as a whole which are coved by another SWC.</w:t>
            </w:r>
            <w:r w:rsidR="00632802" w:rsidRPr="00FE4CB5">
              <w:rPr>
                <w:rFonts w:ascii="Calibri" w:hAnsi="Calibri" w:cs="Calibri"/>
              </w:rPr>
              <w:t xml:space="preserve"> Please see edits to the Specifications surrounding Forestry Supplies. </w:t>
            </w:r>
          </w:p>
        </w:tc>
      </w:tr>
      <w:tr w:rsidR="00FE4CB5" w:rsidRPr="00FE4CB5" w14:paraId="37366D2D" w14:textId="77777777" w:rsidTr="00FE4CB5">
        <w:trPr>
          <w:trHeight w:val="288"/>
        </w:trPr>
        <w:tc>
          <w:tcPr>
            <w:tcW w:w="231" w:type="pct"/>
            <w:gridSpan w:val="3"/>
            <w:tcBorders>
              <w:right w:val="nil"/>
            </w:tcBorders>
          </w:tcPr>
          <w:p w14:paraId="18BD5821"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32EAAA94" w14:textId="40F1B1AC" w:rsidR="007E725D" w:rsidRPr="00FE4CB5" w:rsidRDefault="00653C59" w:rsidP="002D1A69">
            <w:pPr>
              <w:rPr>
                <w:rFonts w:ascii="Calibri" w:hAnsi="Calibri" w:cs="Calibri"/>
              </w:rPr>
            </w:pPr>
            <w:r w:rsidRPr="00FE4CB5">
              <w:rPr>
                <w:rFonts w:ascii="Calibri" w:hAnsi="Calibri" w:cs="Calibri"/>
              </w:rPr>
              <w:t>Can the State provide a more detailed all-inclusive list of products that are not allowed to be sold under the Industrial Supplies contract?</w:t>
            </w:r>
          </w:p>
        </w:tc>
        <w:tc>
          <w:tcPr>
            <w:tcW w:w="2742" w:type="pct"/>
            <w:shd w:val="clear" w:color="auto" w:fill="auto"/>
          </w:tcPr>
          <w:p w14:paraId="6F9EB945" w14:textId="78242C8C" w:rsidR="007E725D" w:rsidRPr="00FE4CB5" w:rsidRDefault="005C32CC"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Due to the extensive nature of this list, specific items will be addressed on an individual basis as needed</w:t>
            </w:r>
            <w:r w:rsidR="0036411E" w:rsidRPr="00FE4CB5">
              <w:rPr>
                <w:rFonts w:ascii="Calibri" w:hAnsi="Calibri" w:cs="Calibri"/>
              </w:rPr>
              <w:t>.</w:t>
            </w:r>
          </w:p>
        </w:tc>
      </w:tr>
      <w:tr w:rsidR="00FE4CB5" w:rsidRPr="00FE4CB5" w14:paraId="37C9A6FB" w14:textId="77777777" w:rsidTr="00FE4CB5">
        <w:trPr>
          <w:trHeight w:val="288"/>
        </w:trPr>
        <w:tc>
          <w:tcPr>
            <w:tcW w:w="231" w:type="pct"/>
            <w:gridSpan w:val="3"/>
            <w:tcBorders>
              <w:right w:val="nil"/>
            </w:tcBorders>
          </w:tcPr>
          <w:p w14:paraId="0AAF73E6"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07FE06B7" w14:textId="7C6D582B" w:rsidR="007E725D" w:rsidRPr="00FE4CB5" w:rsidRDefault="00653C59" w:rsidP="002D1A69">
            <w:pPr>
              <w:rPr>
                <w:rFonts w:ascii="Calibri" w:hAnsi="Calibri" w:cs="Calibri"/>
              </w:rPr>
            </w:pPr>
            <w:r w:rsidRPr="00FE4CB5">
              <w:rPr>
                <w:rFonts w:ascii="Calibri" w:hAnsi="Calibri" w:cs="Calibri"/>
              </w:rPr>
              <w:t>Is it correct that the Safety and Lighting categories within the ITB Workbook do not have a minimum discount?</w:t>
            </w:r>
          </w:p>
        </w:tc>
        <w:tc>
          <w:tcPr>
            <w:tcW w:w="2742" w:type="pct"/>
            <w:shd w:val="clear" w:color="auto" w:fill="auto"/>
          </w:tcPr>
          <w:p w14:paraId="37544AE3" w14:textId="7392F885" w:rsidR="007E725D" w:rsidRPr="00FE4CB5" w:rsidRDefault="00653C59"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The minimum discount has been added to these categories.</w:t>
            </w:r>
          </w:p>
        </w:tc>
      </w:tr>
      <w:tr w:rsidR="00FE4CB5" w:rsidRPr="00FE4CB5" w14:paraId="40BB5633" w14:textId="77777777" w:rsidTr="00FE4CB5">
        <w:trPr>
          <w:trHeight w:val="288"/>
        </w:trPr>
        <w:tc>
          <w:tcPr>
            <w:tcW w:w="231" w:type="pct"/>
            <w:gridSpan w:val="3"/>
            <w:tcBorders>
              <w:right w:val="nil"/>
            </w:tcBorders>
          </w:tcPr>
          <w:p w14:paraId="18CD55CF"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68AD28CF" w14:textId="1C6453C9" w:rsidR="00226672" w:rsidRPr="00FE4CB5" w:rsidRDefault="00226672" w:rsidP="002D1A69">
            <w:pPr>
              <w:rPr>
                <w:rFonts w:ascii="Calibri" w:hAnsi="Calibri" w:cs="Calibri"/>
              </w:rPr>
            </w:pPr>
            <w:r w:rsidRPr="00FE4CB5">
              <w:rPr>
                <w:rFonts w:ascii="Calibri" w:hAnsi="Calibri" w:cs="Calibri"/>
              </w:rPr>
              <w:t>Section 6.2, Price Changes at Subsection c) states that The Contractor price change requests may be approved or disapproved by the State.</w:t>
            </w:r>
          </w:p>
          <w:p w14:paraId="56038B14" w14:textId="77777777" w:rsidR="00226672" w:rsidRPr="00FE4CB5" w:rsidRDefault="00226672" w:rsidP="002D1A69">
            <w:pPr>
              <w:rPr>
                <w:rFonts w:ascii="Calibri" w:hAnsi="Calibri" w:cs="Calibri"/>
              </w:rPr>
            </w:pPr>
          </w:p>
          <w:p w14:paraId="60FB5E19" w14:textId="77777777" w:rsidR="00226672" w:rsidRPr="00FE4CB5" w:rsidRDefault="00226672" w:rsidP="002D1A69">
            <w:pPr>
              <w:rPr>
                <w:rFonts w:ascii="Calibri" w:hAnsi="Calibri" w:cs="Calibri"/>
              </w:rPr>
            </w:pPr>
            <w:r w:rsidRPr="00FE4CB5">
              <w:rPr>
                <w:rFonts w:ascii="Calibri" w:hAnsi="Calibri" w:cs="Calibri"/>
              </w:rPr>
              <w:t>Can the State please clarify that if a Contractor price change request is not approved as requested, the Contractor is not required to sell its product on Contract at a price point below its defined cost and that the product, at the sole discretion of the Contractor, can be removed with or without substitute, from its State Contract offering?</w:t>
            </w:r>
          </w:p>
          <w:p w14:paraId="1861AE95" w14:textId="77777777" w:rsidR="007E725D" w:rsidRPr="00FE4CB5" w:rsidRDefault="007E725D" w:rsidP="002D1A69">
            <w:pPr>
              <w:rPr>
                <w:rFonts w:ascii="Calibri" w:hAnsi="Calibri" w:cs="Calibri"/>
              </w:rPr>
            </w:pPr>
          </w:p>
        </w:tc>
        <w:tc>
          <w:tcPr>
            <w:tcW w:w="2742" w:type="pct"/>
            <w:shd w:val="clear" w:color="auto" w:fill="auto"/>
          </w:tcPr>
          <w:p w14:paraId="76734F6F" w14:textId="5019A252" w:rsidR="007E725D" w:rsidRPr="00FE4CB5" w:rsidRDefault="00212EDD"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The price increase language as listed in section 6.2 of the T&amp;C’s will not change. </w:t>
            </w:r>
            <w:r w:rsidR="00CA20AA">
              <w:rPr>
                <w:rFonts w:ascii="Calibri" w:hAnsi="Calibri" w:cs="Calibri"/>
              </w:rPr>
              <w:t>Market basket</w:t>
            </w:r>
            <w:r w:rsidR="00286E28" w:rsidRPr="00FE4CB5">
              <w:rPr>
                <w:rFonts w:ascii="Calibri" w:hAnsi="Calibri" w:cs="Calibri"/>
              </w:rPr>
              <w:t xml:space="preserve"> items may not be removed without prior approval  and must be sold at the bid price until a price increase has been approved</w:t>
            </w:r>
            <w:r w:rsidR="00840B52" w:rsidRPr="00FE4CB5">
              <w:rPr>
                <w:rFonts w:ascii="Calibri" w:hAnsi="Calibri" w:cs="Calibri"/>
              </w:rPr>
              <w:t xml:space="preserve"> by the CPO and its oversight bodies</w:t>
            </w:r>
            <w:r w:rsidR="00286E28" w:rsidRPr="00FE4CB5">
              <w:rPr>
                <w:rFonts w:ascii="Calibri" w:hAnsi="Calibri" w:cs="Calibri"/>
              </w:rPr>
              <w:t>.</w:t>
            </w:r>
          </w:p>
        </w:tc>
      </w:tr>
      <w:tr w:rsidR="00FE4CB5" w:rsidRPr="00FE4CB5" w14:paraId="0C019D88" w14:textId="77777777" w:rsidTr="00FE4CB5">
        <w:trPr>
          <w:trHeight w:val="288"/>
        </w:trPr>
        <w:tc>
          <w:tcPr>
            <w:tcW w:w="231" w:type="pct"/>
            <w:gridSpan w:val="3"/>
            <w:tcBorders>
              <w:right w:val="nil"/>
            </w:tcBorders>
          </w:tcPr>
          <w:p w14:paraId="30BBC4FA"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41CB2759" w14:textId="273A006E" w:rsidR="00226672" w:rsidRPr="00FE4CB5" w:rsidRDefault="00226672" w:rsidP="002D1A69">
            <w:pPr>
              <w:rPr>
                <w:rFonts w:ascii="Calibri" w:hAnsi="Calibri" w:cs="Calibri"/>
              </w:rPr>
            </w:pPr>
            <w:r w:rsidRPr="00FE4CB5">
              <w:rPr>
                <w:rFonts w:ascii="Calibri" w:hAnsi="Calibri" w:cs="Calibri"/>
              </w:rPr>
              <w:t>Section 7.1, Substitute Items Offered by the Contractor, includes language that restricts the Contractor from offering substitute product that exceeds the price point for the product being substituted by more than 10%.</w:t>
            </w:r>
          </w:p>
          <w:p w14:paraId="29B1697C" w14:textId="77777777" w:rsidR="00226672" w:rsidRPr="00FE4CB5" w:rsidRDefault="00226672" w:rsidP="002D1A69">
            <w:pPr>
              <w:rPr>
                <w:rFonts w:ascii="Calibri" w:hAnsi="Calibri" w:cs="Calibri"/>
              </w:rPr>
            </w:pPr>
          </w:p>
          <w:p w14:paraId="2E8074ED" w14:textId="16287FF5" w:rsidR="007E725D" w:rsidRPr="00FE4CB5" w:rsidRDefault="00226672" w:rsidP="002D1A69">
            <w:pPr>
              <w:rPr>
                <w:rFonts w:ascii="Calibri" w:hAnsi="Calibri" w:cs="Calibri"/>
              </w:rPr>
            </w:pPr>
            <w:r w:rsidRPr="00FE4CB5">
              <w:rPr>
                <w:rFonts w:ascii="Calibri" w:hAnsi="Calibri" w:cs="Calibri"/>
              </w:rPr>
              <w:t>Since a Contractor cannot foretell the cost of a substitute product, particularly during an exigent circumstance, nor can it commit to selling product below its defined cost, can the State please remove the 10% cost increase limiting language at Section 7.1, Subsection (b) with the understanding that the cost of substitute products offered by Contractor are subject to CPO review and approval?</w:t>
            </w:r>
          </w:p>
        </w:tc>
        <w:tc>
          <w:tcPr>
            <w:tcW w:w="2742" w:type="pct"/>
            <w:shd w:val="clear" w:color="auto" w:fill="auto"/>
          </w:tcPr>
          <w:p w14:paraId="1112743A" w14:textId="6DC1647C" w:rsidR="007E725D" w:rsidRPr="00FE4CB5" w:rsidRDefault="008359BF"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The price substitution language will remain unchanged as listed in section 7.1 of the T&amp;C’s.</w:t>
            </w:r>
            <w:r w:rsidR="002E5F33" w:rsidRPr="00FE4CB5">
              <w:rPr>
                <w:rFonts w:ascii="Calibri" w:hAnsi="Calibri" w:cs="Calibri"/>
              </w:rPr>
              <w:t xml:space="preserve"> </w:t>
            </w:r>
          </w:p>
        </w:tc>
      </w:tr>
      <w:tr w:rsidR="00FE4CB5" w:rsidRPr="00FE4CB5" w14:paraId="089F2141" w14:textId="77777777" w:rsidTr="00FE4CB5">
        <w:trPr>
          <w:trHeight w:val="288"/>
        </w:trPr>
        <w:tc>
          <w:tcPr>
            <w:tcW w:w="231" w:type="pct"/>
            <w:gridSpan w:val="3"/>
            <w:tcBorders>
              <w:right w:val="nil"/>
            </w:tcBorders>
          </w:tcPr>
          <w:p w14:paraId="42F0AC50"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411AA15" w14:textId="0F4E6CB9" w:rsidR="00226672" w:rsidRPr="00FE4CB5" w:rsidRDefault="00226672" w:rsidP="002D1A69">
            <w:pPr>
              <w:rPr>
                <w:rFonts w:ascii="Calibri" w:hAnsi="Calibri" w:cs="Calibri"/>
              </w:rPr>
            </w:pPr>
            <w:r w:rsidRPr="00FE4CB5">
              <w:rPr>
                <w:rFonts w:ascii="Calibri" w:hAnsi="Calibri" w:cs="Calibri"/>
              </w:rPr>
              <w:t>Section 7.4, Delivery, states that Contractor shall provide goods under this Contract within 5 days after receipt of a purchase order.</w:t>
            </w:r>
          </w:p>
          <w:p w14:paraId="44B6D240" w14:textId="77777777" w:rsidR="00226672" w:rsidRPr="00FE4CB5" w:rsidRDefault="00226672" w:rsidP="002D1A69">
            <w:pPr>
              <w:rPr>
                <w:rFonts w:ascii="Calibri" w:hAnsi="Calibri" w:cs="Calibri"/>
              </w:rPr>
            </w:pPr>
          </w:p>
          <w:p w14:paraId="260F5C7F" w14:textId="34ACCD4C" w:rsidR="007E725D" w:rsidRPr="00FE4CB5" w:rsidRDefault="00226672" w:rsidP="002D1A69">
            <w:pPr>
              <w:rPr>
                <w:rFonts w:ascii="Calibri" w:hAnsi="Calibri" w:cs="Calibri"/>
              </w:rPr>
            </w:pPr>
            <w:r w:rsidRPr="00FE4CB5">
              <w:rPr>
                <w:rFonts w:ascii="Calibri" w:hAnsi="Calibri" w:cs="Calibri"/>
              </w:rPr>
              <w:t xml:space="preserve">Taking into consideration that a delivery requirement tied to "calendar days" may </w:t>
            </w:r>
            <w:r w:rsidRPr="00FE4CB5">
              <w:rPr>
                <w:rFonts w:ascii="Calibri" w:hAnsi="Calibri" w:cs="Calibri"/>
              </w:rPr>
              <w:lastRenderedPageBreak/>
              <w:t>fall on a weekend, holiday or other non-work day for the State, can the State please clarify that delivery timeframes presented throughout this ITB refer to delivery of product on State "business days" and not "calendar days"?</w:t>
            </w:r>
          </w:p>
        </w:tc>
        <w:tc>
          <w:tcPr>
            <w:tcW w:w="2742" w:type="pct"/>
            <w:shd w:val="clear" w:color="auto" w:fill="auto"/>
          </w:tcPr>
          <w:p w14:paraId="365C2909" w14:textId="722159C2" w:rsidR="007E725D" w:rsidRPr="00FE4CB5" w:rsidRDefault="001A26EA"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lastRenderedPageBreak/>
              <w:t>Delivery has been changed to 5 business days</w:t>
            </w:r>
            <w:r w:rsidR="00AE7882" w:rsidRPr="00FE4CB5">
              <w:rPr>
                <w:rFonts w:ascii="Calibri" w:hAnsi="Calibri" w:cs="Calibri"/>
              </w:rPr>
              <w:t xml:space="preserve"> in section </w:t>
            </w:r>
            <w:r w:rsidR="00C86137" w:rsidRPr="00FE4CB5">
              <w:rPr>
                <w:rFonts w:ascii="Calibri" w:hAnsi="Calibri" w:cs="Calibri"/>
              </w:rPr>
              <w:t>10 of the Specifications</w:t>
            </w:r>
          </w:p>
        </w:tc>
      </w:tr>
      <w:tr w:rsidR="00FE4CB5" w:rsidRPr="00FE4CB5" w14:paraId="76E63451" w14:textId="77777777" w:rsidTr="00FE4CB5">
        <w:trPr>
          <w:trHeight w:val="288"/>
        </w:trPr>
        <w:tc>
          <w:tcPr>
            <w:tcW w:w="231" w:type="pct"/>
            <w:gridSpan w:val="3"/>
            <w:tcBorders>
              <w:right w:val="nil"/>
            </w:tcBorders>
          </w:tcPr>
          <w:p w14:paraId="0710E494"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5B9A210D" w14:textId="71787736" w:rsidR="00226672" w:rsidRPr="00FE4CB5" w:rsidRDefault="00226672" w:rsidP="002D1A69">
            <w:pPr>
              <w:rPr>
                <w:rFonts w:ascii="Calibri" w:hAnsi="Calibri" w:cs="Calibri"/>
              </w:rPr>
            </w:pPr>
            <w:r w:rsidRPr="00FE4CB5">
              <w:rPr>
                <w:rFonts w:ascii="Calibri" w:hAnsi="Calibri" w:cs="Calibri"/>
              </w:rPr>
              <w:t>At Section 7.31, State and Federal Compliance, Contractors are required to comply with all State and federal laws and regulations applicable to Contractor in Contractor's performance of this Contract.</w:t>
            </w:r>
          </w:p>
          <w:p w14:paraId="42F2DFF7" w14:textId="77777777" w:rsidR="00226672" w:rsidRPr="00FE4CB5" w:rsidRDefault="00226672" w:rsidP="002D1A69">
            <w:pPr>
              <w:rPr>
                <w:rFonts w:ascii="Calibri" w:hAnsi="Calibri" w:cs="Calibri"/>
              </w:rPr>
            </w:pPr>
          </w:p>
          <w:p w14:paraId="2E1DB984" w14:textId="7A86E450" w:rsidR="007E725D" w:rsidRPr="00FE4CB5" w:rsidRDefault="00226672" w:rsidP="002D1A69">
            <w:pPr>
              <w:rPr>
                <w:rFonts w:ascii="Calibri" w:hAnsi="Calibri" w:cs="Calibri"/>
              </w:rPr>
            </w:pPr>
            <w:r w:rsidRPr="00FE4CB5">
              <w:rPr>
                <w:rFonts w:ascii="Calibri" w:hAnsi="Calibri" w:cs="Calibri"/>
              </w:rPr>
              <w:t>Can the State please clarify that if additional State and/or federal terms and conditions apply to any purchase order issued by the State under these Contract terms and conditions, that the State will give notice to Contractor to ensure Contractor can comply with any additional applicable State and/or federal terms and conditions?</w:t>
            </w:r>
          </w:p>
        </w:tc>
        <w:tc>
          <w:tcPr>
            <w:tcW w:w="2742" w:type="pct"/>
            <w:shd w:val="clear" w:color="auto" w:fill="auto"/>
          </w:tcPr>
          <w:p w14:paraId="4562B5D3" w14:textId="7F4C4999" w:rsidR="007E725D" w:rsidRPr="00FE4CB5" w:rsidRDefault="00BC6DA3"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 xml:space="preserve">Under normal business practices each </w:t>
            </w:r>
            <w:r w:rsidR="00840B52" w:rsidRPr="00FE4CB5">
              <w:rPr>
                <w:rFonts w:ascii="Calibri" w:hAnsi="Calibri" w:cs="Calibri"/>
              </w:rPr>
              <w:t>supplier</w:t>
            </w:r>
            <w:r w:rsidRPr="00FE4CB5">
              <w:rPr>
                <w:rFonts w:ascii="Calibri" w:hAnsi="Calibri" w:cs="Calibri"/>
              </w:rPr>
              <w:t xml:space="preserve">s legal team is tasked with keeping </w:t>
            </w:r>
            <w:r w:rsidR="00840B52" w:rsidRPr="00FE4CB5">
              <w:rPr>
                <w:rFonts w:ascii="Calibri" w:hAnsi="Calibri" w:cs="Calibri"/>
              </w:rPr>
              <w:t>up</w:t>
            </w:r>
            <w:r w:rsidRPr="00FE4CB5">
              <w:rPr>
                <w:rFonts w:ascii="Calibri" w:hAnsi="Calibri" w:cs="Calibri"/>
              </w:rPr>
              <w:t xml:space="preserve"> with all </w:t>
            </w:r>
            <w:r w:rsidR="00840B52" w:rsidRPr="00FE4CB5">
              <w:rPr>
                <w:rFonts w:ascii="Calibri" w:hAnsi="Calibri" w:cs="Calibri"/>
              </w:rPr>
              <w:t>S</w:t>
            </w:r>
            <w:r w:rsidRPr="00FE4CB5">
              <w:rPr>
                <w:rFonts w:ascii="Calibri" w:hAnsi="Calibri" w:cs="Calibri"/>
              </w:rPr>
              <w:t xml:space="preserve">tate and federal regulations. Since the list of regulations is quite extensive, the </w:t>
            </w:r>
            <w:r w:rsidR="00840B52" w:rsidRPr="00FE4CB5">
              <w:rPr>
                <w:rFonts w:ascii="Calibri" w:hAnsi="Calibri" w:cs="Calibri"/>
              </w:rPr>
              <w:t>S</w:t>
            </w:r>
            <w:r w:rsidRPr="00FE4CB5">
              <w:rPr>
                <w:rFonts w:ascii="Calibri" w:hAnsi="Calibri" w:cs="Calibri"/>
              </w:rPr>
              <w:t>tate will not be providing a list of current or future regulations.</w:t>
            </w:r>
          </w:p>
        </w:tc>
      </w:tr>
      <w:tr w:rsidR="00FE4CB5" w:rsidRPr="00FE4CB5" w14:paraId="275E4554" w14:textId="77777777" w:rsidTr="00FE4CB5">
        <w:trPr>
          <w:trHeight w:val="288"/>
        </w:trPr>
        <w:tc>
          <w:tcPr>
            <w:tcW w:w="231" w:type="pct"/>
            <w:gridSpan w:val="3"/>
            <w:tcBorders>
              <w:right w:val="nil"/>
            </w:tcBorders>
          </w:tcPr>
          <w:p w14:paraId="371A2DDE"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2A6CAD63" w14:textId="15E846D2" w:rsidR="00226672" w:rsidRPr="00FE4CB5" w:rsidRDefault="00226672" w:rsidP="002D1A69">
            <w:pPr>
              <w:rPr>
                <w:rFonts w:ascii="Calibri" w:hAnsi="Calibri" w:cs="Calibri"/>
              </w:rPr>
            </w:pPr>
            <w:r w:rsidRPr="00FE4CB5">
              <w:rPr>
                <w:rFonts w:ascii="Calibri" w:hAnsi="Calibri" w:cs="Calibri"/>
              </w:rPr>
              <w:t>Section 8.4, State of Tennessee Administrative Fee, states that Contractor will include a 3% administrative fee in the cost of all goods/services purchased under this contract.</w:t>
            </w:r>
          </w:p>
          <w:p w14:paraId="2644752D" w14:textId="77777777" w:rsidR="00226672" w:rsidRPr="00FE4CB5" w:rsidRDefault="00226672" w:rsidP="002D1A69">
            <w:pPr>
              <w:rPr>
                <w:rFonts w:ascii="Calibri" w:hAnsi="Calibri" w:cs="Calibri"/>
              </w:rPr>
            </w:pPr>
          </w:p>
          <w:p w14:paraId="025E6835" w14:textId="2B4FFA65" w:rsidR="007E725D" w:rsidRPr="00FE4CB5" w:rsidRDefault="00226672" w:rsidP="002D1A69">
            <w:pPr>
              <w:rPr>
                <w:rFonts w:ascii="Calibri" w:hAnsi="Calibri" w:cs="Calibri"/>
              </w:rPr>
            </w:pPr>
            <w:r w:rsidRPr="00FE4CB5">
              <w:rPr>
                <w:rFonts w:ascii="Calibri" w:hAnsi="Calibri" w:cs="Calibri"/>
              </w:rPr>
              <w:t>Can the State please clarify that the Contractor’s calculation of this administrative fee will not include returns, credits or shipping/handling fees made to or paid by the State for product purchased under this Contract?</w:t>
            </w:r>
          </w:p>
        </w:tc>
        <w:tc>
          <w:tcPr>
            <w:tcW w:w="2742" w:type="pct"/>
            <w:shd w:val="clear" w:color="auto" w:fill="auto"/>
          </w:tcPr>
          <w:p w14:paraId="7AD06276" w14:textId="5ED0FEB9" w:rsidR="007E725D" w:rsidRPr="00FE4CB5" w:rsidRDefault="00226672"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t>An administrative fee will be due on all freight charges.</w:t>
            </w:r>
          </w:p>
        </w:tc>
      </w:tr>
      <w:tr w:rsidR="00FE4CB5" w:rsidRPr="00FE4CB5" w14:paraId="090B6326" w14:textId="77777777" w:rsidTr="00FE4CB5">
        <w:trPr>
          <w:trHeight w:val="288"/>
        </w:trPr>
        <w:tc>
          <w:tcPr>
            <w:tcW w:w="231" w:type="pct"/>
            <w:gridSpan w:val="3"/>
            <w:tcBorders>
              <w:right w:val="nil"/>
            </w:tcBorders>
          </w:tcPr>
          <w:p w14:paraId="380E5232"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p>
        </w:tc>
        <w:tc>
          <w:tcPr>
            <w:tcW w:w="2027" w:type="pct"/>
            <w:gridSpan w:val="2"/>
            <w:tcBorders>
              <w:left w:val="nil"/>
            </w:tcBorders>
          </w:tcPr>
          <w:p w14:paraId="662F9ACC" w14:textId="2FF68C8A" w:rsidR="007B5636" w:rsidRPr="00FE4CB5" w:rsidRDefault="007B5636" w:rsidP="002D1A69">
            <w:pPr>
              <w:rPr>
                <w:rFonts w:ascii="Calibri" w:hAnsi="Calibri" w:cs="Calibri"/>
              </w:rPr>
            </w:pPr>
            <w:r w:rsidRPr="00FE4CB5">
              <w:rPr>
                <w:rFonts w:ascii="Calibri" w:hAnsi="Calibri" w:cs="Calibri"/>
              </w:rPr>
              <w:t xml:space="preserve">ITB Section 4.2.1, Warranty, states that the Contract represents and warrants that the terms of the warranty (“Warranty Period”) shall be the greater of the Term of this Contract or any other </w:t>
            </w:r>
            <w:r w:rsidRPr="00FE4CB5">
              <w:rPr>
                <w:rFonts w:ascii="Calibri" w:hAnsi="Calibri" w:cs="Calibri"/>
              </w:rPr>
              <w:lastRenderedPageBreak/>
              <w:t>warranty generally offered by Contractor, its suppliers, or manufacturers to customers of its goods and services.”</w:t>
            </w:r>
          </w:p>
          <w:p w14:paraId="4B5267B0" w14:textId="77777777" w:rsidR="007B5636" w:rsidRPr="00FE4CB5" w:rsidRDefault="007B5636" w:rsidP="002D1A69">
            <w:pPr>
              <w:rPr>
                <w:rFonts w:ascii="Calibri" w:hAnsi="Calibri" w:cs="Calibri"/>
              </w:rPr>
            </w:pPr>
          </w:p>
          <w:p w14:paraId="3360B423" w14:textId="77777777" w:rsidR="007B5636" w:rsidRPr="00FE4CB5" w:rsidRDefault="007B5636" w:rsidP="002D1A69">
            <w:pPr>
              <w:rPr>
                <w:rFonts w:ascii="Calibri" w:hAnsi="Calibri" w:cs="Calibri"/>
              </w:rPr>
            </w:pPr>
            <w:r w:rsidRPr="00FE4CB5">
              <w:rPr>
                <w:rFonts w:ascii="Calibri" w:hAnsi="Calibri" w:cs="Calibri"/>
              </w:rPr>
              <w:t>Section 5.1 states that the “ … Contract shall be effective on June 01, 2024 (“Effective Date”) and extend for a period of twenty four (24) months after the Effective Date (“Term”). This Section also states that in no event shall the maximum term of the Contract exceed 60 months.</w:t>
            </w:r>
          </w:p>
          <w:p w14:paraId="1FEB7D75" w14:textId="77777777" w:rsidR="007B5636" w:rsidRPr="00FE4CB5" w:rsidRDefault="007B5636" w:rsidP="002D1A69">
            <w:pPr>
              <w:rPr>
                <w:rFonts w:ascii="Calibri" w:hAnsi="Calibri" w:cs="Calibri"/>
              </w:rPr>
            </w:pPr>
          </w:p>
          <w:p w14:paraId="2838A3B5" w14:textId="77777777" w:rsidR="007B5636" w:rsidRPr="00FE4CB5" w:rsidRDefault="007B5636" w:rsidP="002D1A69">
            <w:pPr>
              <w:rPr>
                <w:rFonts w:ascii="Calibri" w:hAnsi="Calibri" w:cs="Calibri"/>
              </w:rPr>
            </w:pPr>
            <w:r w:rsidRPr="00FE4CB5">
              <w:rPr>
                <w:rFonts w:ascii="Calibri" w:hAnsi="Calibri" w:cs="Calibri"/>
              </w:rPr>
              <w:t>At Section 4.2.2, Warranty for Resale of Goods, Contractors shall pass through to the State any manufacturer's warranties with additional warranty requirements extending for a period of 1 year after receipt of goods under this Contract.</w:t>
            </w:r>
          </w:p>
          <w:p w14:paraId="1FED250E" w14:textId="77777777" w:rsidR="007B5636" w:rsidRPr="00FE4CB5" w:rsidRDefault="007B5636" w:rsidP="002D1A69">
            <w:pPr>
              <w:rPr>
                <w:rFonts w:ascii="Calibri" w:hAnsi="Calibri" w:cs="Calibri"/>
              </w:rPr>
            </w:pPr>
          </w:p>
          <w:p w14:paraId="187407A2" w14:textId="67B35CCE" w:rsidR="007E725D" w:rsidRPr="00FE4CB5" w:rsidRDefault="007B5636" w:rsidP="002D1A69">
            <w:pPr>
              <w:rPr>
                <w:rFonts w:ascii="Calibri" w:hAnsi="Calibri" w:cs="Calibri"/>
              </w:rPr>
            </w:pPr>
            <w:r w:rsidRPr="00FE4CB5">
              <w:rPr>
                <w:rFonts w:ascii="Calibri" w:hAnsi="Calibri" w:cs="Calibri"/>
              </w:rPr>
              <w:t>Can the State please clarify that the term of warranty offered by Contractor is that specified in Section 4.2.2?</w:t>
            </w:r>
          </w:p>
        </w:tc>
        <w:tc>
          <w:tcPr>
            <w:tcW w:w="2742" w:type="pct"/>
            <w:shd w:val="clear" w:color="auto" w:fill="auto"/>
          </w:tcPr>
          <w:p w14:paraId="36557F8F" w14:textId="458942B4" w:rsidR="007E725D" w:rsidRPr="00FE4CB5" w:rsidRDefault="00A16F9A"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rPr>
                <w:rFonts w:ascii="Calibri" w:hAnsi="Calibri" w:cs="Calibri"/>
              </w:rPr>
              <w:lastRenderedPageBreak/>
              <w:t xml:space="preserve">The  of the </w:t>
            </w:r>
            <w:r w:rsidR="00E04AA6" w:rsidRPr="00FE4CB5">
              <w:rPr>
                <w:rFonts w:ascii="Calibri" w:hAnsi="Calibri" w:cs="Calibri"/>
              </w:rPr>
              <w:t>warranty as stated in section 4.2.2</w:t>
            </w:r>
            <w:r w:rsidR="00A25C52" w:rsidRPr="00FE4CB5">
              <w:rPr>
                <w:rFonts w:ascii="Calibri" w:hAnsi="Calibri" w:cs="Calibri"/>
              </w:rPr>
              <w:t xml:space="preserve"> is</w:t>
            </w:r>
            <w:r w:rsidR="00E04AA6" w:rsidRPr="00FE4CB5">
              <w:rPr>
                <w:rFonts w:ascii="Calibri" w:hAnsi="Calibri" w:cs="Calibri"/>
              </w:rPr>
              <w:t xml:space="preserve"> </w:t>
            </w:r>
            <w:r w:rsidR="00A25C52" w:rsidRPr="00FE4CB5">
              <w:rPr>
                <w:rFonts w:ascii="Calibri" w:hAnsi="Calibri" w:cs="Calibri"/>
              </w:rPr>
              <w:t xml:space="preserve">for a period of one (1) year after any receipt of any goods under this Contract </w:t>
            </w:r>
          </w:p>
        </w:tc>
      </w:tr>
      <w:tr w:rsidR="00FE4CB5" w:rsidRPr="00FE4CB5" w14:paraId="74955FD1" w14:textId="77777777" w:rsidTr="00FE4CB5">
        <w:trPr>
          <w:trHeight w:val="288"/>
        </w:trPr>
        <w:tc>
          <w:tcPr>
            <w:tcW w:w="231" w:type="pct"/>
            <w:gridSpan w:val="3"/>
            <w:tcBorders>
              <w:right w:val="nil"/>
            </w:tcBorders>
          </w:tcPr>
          <w:p w14:paraId="24C7F3FA" w14:textId="77777777" w:rsidR="007E725D" w:rsidRPr="00FE4CB5" w:rsidRDefault="007E725D" w:rsidP="006913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bookmarkStart w:id="0" w:name="_Hlk152738027"/>
          </w:p>
        </w:tc>
        <w:tc>
          <w:tcPr>
            <w:tcW w:w="2027" w:type="pct"/>
            <w:gridSpan w:val="2"/>
            <w:tcBorders>
              <w:left w:val="nil"/>
            </w:tcBorders>
          </w:tcPr>
          <w:p w14:paraId="5F3631FE" w14:textId="63C047D2" w:rsidR="007B5636" w:rsidRPr="00FE4CB5" w:rsidRDefault="007B5636" w:rsidP="002D1A69">
            <w:pPr>
              <w:rPr>
                <w:rFonts w:ascii="Calibri" w:hAnsi="Calibri" w:cs="Calibri"/>
              </w:rPr>
            </w:pPr>
            <w:r w:rsidRPr="00FE4CB5">
              <w:rPr>
                <w:rFonts w:ascii="Calibri" w:hAnsi="Calibri" w:cs="Calibri"/>
              </w:rPr>
              <w:t>Will the State accept the Contractor’s warranty policy currently in effect under the existing agreement? Current Warranty Policy stated as follows:</w:t>
            </w:r>
          </w:p>
          <w:p w14:paraId="3D28D3A9" w14:textId="77777777" w:rsidR="007B5636" w:rsidRPr="00FE4CB5" w:rsidRDefault="007B5636" w:rsidP="002D1A69">
            <w:pPr>
              <w:rPr>
                <w:rFonts w:ascii="Calibri" w:hAnsi="Calibri" w:cs="Calibri"/>
              </w:rPr>
            </w:pPr>
          </w:p>
          <w:p w14:paraId="624CD3EF" w14:textId="77777777" w:rsidR="007B5636" w:rsidRPr="00FE4CB5" w:rsidRDefault="007B5636" w:rsidP="002D1A69">
            <w:pPr>
              <w:rPr>
                <w:rFonts w:ascii="Calibri" w:hAnsi="Calibri" w:cs="Calibri"/>
              </w:rPr>
            </w:pPr>
            <w:r w:rsidRPr="00FE4CB5">
              <w:rPr>
                <w:rFonts w:ascii="Calibri" w:hAnsi="Calibri" w:cs="Calibri"/>
              </w:rPr>
              <w:t xml:space="preserve">Warranty -In addition to any manufacturer warranty, the Contractor warrants products against defects in material and workmanship under normal use for a period of one (1) year after customer acceptance, unless otherwise stated, provided that The Contractor accepts the product for return during the limited warranty period. The Contractor may, at its option: i) repair, ii) replace or iii) refund the amount paid by the </w:t>
            </w:r>
            <w:r w:rsidRPr="00FE4CB5">
              <w:rPr>
                <w:rFonts w:ascii="Calibri" w:hAnsi="Calibri" w:cs="Calibri"/>
              </w:rPr>
              <w:lastRenderedPageBreak/>
              <w:t>customer. The Contractor assesses no fees for repair, replacement or refund involving product warranty. The Contractor's repair, replacement or refund of amounts paid by customer for the product shall be customer's sole and exclusive remedy.</w:t>
            </w:r>
          </w:p>
          <w:p w14:paraId="386B53FD" w14:textId="77777777" w:rsidR="007B5636" w:rsidRPr="00FE4CB5" w:rsidRDefault="007B5636" w:rsidP="002D1A69">
            <w:pPr>
              <w:rPr>
                <w:rFonts w:ascii="Calibri" w:hAnsi="Calibri" w:cs="Calibri"/>
              </w:rPr>
            </w:pPr>
          </w:p>
          <w:p w14:paraId="0881D46D" w14:textId="77777777" w:rsidR="007B5636" w:rsidRPr="00FE4CB5" w:rsidRDefault="007B5636" w:rsidP="002D1A69">
            <w:pPr>
              <w:rPr>
                <w:rFonts w:ascii="Calibri" w:hAnsi="Calibri" w:cs="Calibri"/>
              </w:rPr>
            </w:pPr>
            <w:r w:rsidRPr="00FE4CB5">
              <w:rPr>
                <w:rFonts w:ascii="Calibri" w:hAnsi="Calibri" w:cs="Calibri"/>
              </w:rPr>
              <w:t>WARRANTY DISCLAIMER AND LIMITATIONS OF LIABILITY. EXCEPT AS SET FORTH HEREIN AND WHERE APPLICABLE, NO WARRANTY OR AFFIRMATION OF FACT OR DESCRIPTION, EXPRESS OR IMPLIED, IS MADE OR AUTHORIZED BY THE CONTRACTOR. THE CONTRACTOR DISCLAIMS ANY EXPRESS OR IMPLIED WARRANTIES OF MERCHANTABILITY, FITNESS FOR A PARTICULAR PURPOSE OR NONINFRINGEMENT OF INTELLECTUAL PROPERTY RIGHTS. THE CONTRACTOR ALSO DISCLAIMS ANY LIABILITY FOR CLAIMS ARISING OUT OF PRODUCT MISUSE, IMPROPER PRODUCT SELECTION, IMPROPER INSTALLATION, PRODUCT MODIFICATION, MISREPAIR, OR MISAPPLICATION. THE CONTRACTOR EXPRESSLY DISCLAIMS ANY LIABILITY FOR CONSEQUENTIAL, INCIDENTAL, SPECIAL, EXEMPLARY, OR PUNITIVE DAMAGES TO THE EXTENT PERMISSIBLE. THE CONTRACTOR'S LIABILITY IN ALL EVENTS IS LIMITED TO THE PURCHASE PRICE PAID FOR THE PRODUCT THAT GIVES RISE TO ANY LIABILITY.</w:t>
            </w:r>
          </w:p>
          <w:p w14:paraId="25E7818F" w14:textId="77777777" w:rsidR="007E725D" w:rsidRPr="00FE4CB5" w:rsidRDefault="007E725D" w:rsidP="002D1A69">
            <w:pPr>
              <w:rPr>
                <w:rFonts w:ascii="Calibri" w:hAnsi="Calibri" w:cs="Calibri"/>
              </w:rPr>
            </w:pPr>
          </w:p>
        </w:tc>
        <w:tc>
          <w:tcPr>
            <w:tcW w:w="2742" w:type="pct"/>
            <w:shd w:val="clear" w:color="auto" w:fill="auto"/>
          </w:tcPr>
          <w:p w14:paraId="3D620638" w14:textId="2B340A45" w:rsidR="007E725D" w:rsidRPr="00FE4CB5" w:rsidRDefault="00FE4CB5"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Calibri" w:hAnsi="Calibri" w:cs="Calibri"/>
              </w:rPr>
            </w:pPr>
            <w:r w:rsidRPr="00FE4CB5">
              <w:lastRenderedPageBreak/>
              <w:t xml:space="preserve"> </w:t>
            </w:r>
            <w:r w:rsidRPr="00FE4CB5">
              <w:rPr>
                <w:rFonts w:ascii="Calibri" w:hAnsi="Calibri" w:cs="Calibri"/>
              </w:rPr>
              <w:t xml:space="preserve">See State's response to #39. The State will not modify this clause any further.  </w:t>
            </w:r>
          </w:p>
        </w:tc>
      </w:tr>
      <w:bookmarkEnd w:id="0"/>
      <w:tr w:rsidR="00FE4CB5" w:rsidRPr="00FE4CB5" w14:paraId="61FA927D" w14:textId="77777777" w:rsidTr="00FE4CB5">
        <w:trPr>
          <w:trHeight w:val="288"/>
        </w:trPr>
        <w:tc>
          <w:tcPr>
            <w:tcW w:w="183" w:type="pct"/>
            <w:tcBorders>
              <w:right w:val="nil"/>
            </w:tcBorders>
          </w:tcPr>
          <w:p w14:paraId="39FA6C3B"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62" w:type="pct"/>
            <w:gridSpan w:val="3"/>
            <w:tcBorders>
              <w:left w:val="nil"/>
            </w:tcBorders>
          </w:tcPr>
          <w:p w14:paraId="5716E807" w14:textId="5D65E1C7" w:rsidR="001E3568" w:rsidRPr="00FE4CB5" w:rsidRDefault="00360254" w:rsidP="002D1A69">
            <w:pPr>
              <w:numPr>
                <w:ilvl w:val="12"/>
                <w:numId w:val="0"/>
              </w:numPr>
              <w:spacing w:before="120" w:after="20"/>
              <w:rPr>
                <w:rFonts w:asciiTheme="minorHAnsi" w:hAnsiTheme="minorHAnsi"/>
              </w:rPr>
            </w:pPr>
            <w:r w:rsidRPr="00FE4CB5">
              <w:rPr>
                <w:rFonts w:asciiTheme="minorHAnsi" w:hAnsiTheme="minorHAnsi"/>
              </w:rPr>
              <w:t>Per pricing Excel – freight is excluded from pricing?  However, per Specifications section 5, the price must include service, etc. Which do we follow?</w:t>
            </w:r>
          </w:p>
        </w:tc>
        <w:tc>
          <w:tcPr>
            <w:tcW w:w="2755" w:type="pct"/>
            <w:gridSpan w:val="2"/>
            <w:shd w:val="clear" w:color="auto" w:fill="auto"/>
          </w:tcPr>
          <w:p w14:paraId="24D03128" w14:textId="3AB85071" w:rsidR="001E3568" w:rsidRPr="00FE4CB5" w:rsidRDefault="00A3437F"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rPr>
            </w:pPr>
            <w:r w:rsidRPr="00FE4CB5">
              <w:rPr>
                <w:rFonts w:asciiTheme="minorHAnsi" w:hAnsiTheme="minorHAnsi"/>
              </w:rPr>
              <w:t>Freight is excluded from all core items and sub-category discounts. Section 5</w:t>
            </w:r>
            <w:r w:rsidR="0036411E" w:rsidRPr="00FE4CB5">
              <w:rPr>
                <w:rFonts w:asciiTheme="minorHAnsi" w:hAnsiTheme="minorHAnsi"/>
              </w:rPr>
              <w:t xml:space="preserve"> of the specs</w:t>
            </w:r>
            <w:r w:rsidRPr="00FE4CB5">
              <w:rPr>
                <w:rFonts w:asciiTheme="minorHAnsi" w:hAnsiTheme="minorHAnsi"/>
              </w:rPr>
              <w:t xml:space="preserve"> has been revised to remove service.</w:t>
            </w:r>
          </w:p>
        </w:tc>
      </w:tr>
      <w:tr w:rsidR="00FE4CB5" w:rsidRPr="00FE4CB5" w14:paraId="338A8945" w14:textId="77777777" w:rsidTr="00FE4CB5">
        <w:trPr>
          <w:trHeight w:val="288"/>
        </w:trPr>
        <w:tc>
          <w:tcPr>
            <w:tcW w:w="183" w:type="pct"/>
            <w:tcBorders>
              <w:right w:val="nil"/>
            </w:tcBorders>
          </w:tcPr>
          <w:p w14:paraId="64D29FC6"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576"/>
              <w:rPr>
                <w:rFonts w:asciiTheme="minorHAnsi" w:hAnsiTheme="minorHAnsi" w:cs="Arial"/>
              </w:rPr>
            </w:pPr>
          </w:p>
        </w:tc>
        <w:tc>
          <w:tcPr>
            <w:tcW w:w="2062" w:type="pct"/>
            <w:gridSpan w:val="3"/>
            <w:tcBorders>
              <w:left w:val="nil"/>
            </w:tcBorders>
          </w:tcPr>
          <w:p w14:paraId="5F52FD71" w14:textId="61E84687" w:rsidR="00360254" w:rsidRPr="00FE4CB5" w:rsidRDefault="00360254" w:rsidP="002D1A69">
            <w:pPr>
              <w:numPr>
                <w:ilvl w:val="12"/>
                <w:numId w:val="0"/>
              </w:numPr>
              <w:spacing w:before="120" w:after="20"/>
              <w:rPr>
                <w:rFonts w:asciiTheme="minorHAnsi" w:hAnsiTheme="minorHAnsi"/>
              </w:rPr>
            </w:pPr>
            <w:r w:rsidRPr="00FE4CB5">
              <w:rPr>
                <w:rFonts w:asciiTheme="minorHAnsi" w:hAnsiTheme="minorHAnsi"/>
              </w:rPr>
              <w:t>Please ask if they will allow fixed pricing as opposed to a percentage off-list pricing in the market basket.</w:t>
            </w:r>
          </w:p>
          <w:p w14:paraId="7F484B03" w14:textId="0DD1C42D" w:rsidR="001E3568" w:rsidRPr="00FE4CB5" w:rsidRDefault="00360254" w:rsidP="002D1A69">
            <w:pPr>
              <w:numPr>
                <w:ilvl w:val="12"/>
                <w:numId w:val="0"/>
              </w:numPr>
              <w:spacing w:before="120" w:after="20"/>
              <w:rPr>
                <w:rFonts w:asciiTheme="minorHAnsi" w:hAnsiTheme="minorHAnsi"/>
              </w:rPr>
            </w:pPr>
            <w:r w:rsidRPr="00FE4CB5">
              <w:rPr>
                <w:rFonts w:asciiTheme="minorHAnsi" w:hAnsiTheme="minorHAnsi"/>
              </w:rPr>
              <w:t>(Can we provide our pricing with freight included?)</w:t>
            </w:r>
          </w:p>
        </w:tc>
        <w:tc>
          <w:tcPr>
            <w:tcW w:w="2755" w:type="pct"/>
            <w:gridSpan w:val="2"/>
            <w:shd w:val="clear" w:color="auto" w:fill="auto"/>
          </w:tcPr>
          <w:p w14:paraId="000F998D" w14:textId="77777777" w:rsidR="001E3568" w:rsidRPr="00FE4CB5" w:rsidRDefault="00E652F7" w:rsidP="002D1A69">
            <w:pPr>
              <w:rPr>
                <w:rFonts w:asciiTheme="minorHAnsi" w:hAnsiTheme="minorHAnsi"/>
              </w:rPr>
            </w:pPr>
            <w:r w:rsidRPr="00FE4CB5">
              <w:rPr>
                <w:rFonts w:asciiTheme="minorHAnsi" w:hAnsiTheme="minorHAnsi"/>
              </w:rPr>
              <w:t>The only fixed pricing allowed is for core items. All sub-category bids must be a percent discount off catalog.</w:t>
            </w:r>
          </w:p>
          <w:p w14:paraId="30B3C582" w14:textId="77777777" w:rsidR="00E652F7" w:rsidRPr="00FE4CB5" w:rsidRDefault="00E652F7" w:rsidP="002D1A69">
            <w:pPr>
              <w:rPr>
                <w:rFonts w:asciiTheme="minorHAnsi" w:hAnsiTheme="minorHAnsi"/>
              </w:rPr>
            </w:pPr>
          </w:p>
          <w:p w14:paraId="2FCCD0D6" w14:textId="77777777" w:rsidR="00E652F7" w:rsidRPr="00FE4CB5" w:rsidRDefault="00E652F7" w:rsidP="002D1A69">
            <w:pPr>
              <w:rPr>
                <w:rFonts w:asciiTheme="minorHAnsi" w:hAnsiTheme="minorHAnsi"/>
              </w:rPr>
            </w:pPr>
          </w:p>
          <w:p w14:paraId="1372BB5D" w14:textId="24CB7732" w:rsidR="00E652F7" w:rsidRPr="00FE4CB5" w:rsidRDefault="00E652F7" w:rsidP="002D1A69">
            <w:pPr>
              <w:rPr>
                <w:rFonts w:asciiTheme="minorHAnsi" w:hAnsiTheme="minorHAnsi"/>
              </w:rPr>
            </w:pPr>
            <w:r w:rsidRPr="00FE4CB5">
              <w:rPr>
                <w:rFonts w:asciiTheme="minorHAnsi" w:hAnsiTheme="minorHAnsi"/>
              </w:rPr>
              <w:t xml:space="preserve">Quotes should </w:t>
            </w:r>
            <w:r w:rsidRPr="00FE4CB5">
              <w:rPr>
                <w:rFonts w:asciiTheme="minorHAnsi" w:hAnsiTheme="minorHAnsi"/>
                <w:b/>
                <w:bCs/>
              </w:rPr>
              <w:t>not include</w:t>
            </w:r>
            <w:r w:rsidRPr="00FE4CB5">
              <w:rPr>
                <w:rFonts w:asciiTheme="minorHAnsi" w:hAnsiTheme="minorHAnsi"/>
              </w:rPr>
              <w:t xml:space="preserve"> freight.</w:t>
            </w:r>
          </w:p>
        </w:tc>
      </w:tr>
      <w:tr w:rsidR="00FE4CB5" w:rsidRPr="00FE4CB5" w14:paraId="0BC9B81F" w14:textId="77777777" w:rsidTr="00FE4CB5">
        <w:trPr>
          <w:trHeight w:val="288"/>
        </w:trPr>
        <w:tc>
          <w:tcPr>
            <w:tcW w:w="183" w:type="pct"/>
            <w:tcBorders>
              <w:right w:val="nil"/>
            </w:tcBorders>
          </w:tcPr>
          <w:p w14:paraId="64C0F587"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62" w:type="pct"/>
            <w:gridSpan w:val="3"/>
            <w:tcBorders>
              <w:left w:val="nil"/>
            </w:tcBorders>
          </w:tcPr>
          <w:p w14:paraId="59983799" w14:textId="405583E4" w:rsidR="001E3568" w:rsidRPr="00FE4CB5" w:rsidRDefault="00360254" w:rsidP="002D1A69">
            <w:pPr>
              <w:numPr>
                <w:ilvl w:val="12"/>
                <w:numId w:val="0"/>
              </w:numPr>
              <w:spacing w:before="120" w:after="20"/>
              <w:rPr>
                <w:rFonts w:asciiTheme="minorHAnsi" w:hAnsiTheme="minorHAnsi"/>
              </w:rPr>
            </w:pPr>
            <w:r w:rsidRPr="00FE4CB5">
              <w:rPr>
                <w:rFonts w:asciiTheme="minorHAnsi" w:hAnsiTheme="minorHAnsi"/>
              </w:rPr>
              <w:t>It appears from the “How to submit a bid…” document that pricing must be entered manually online. Is there an Excel import button for pricing?</w:t>
            </w:r>
          </w:p>
        </w:tc>
        <w:tc>
          <w:tcPr>
            <w:tcW w:w="2755" w:type="pct"/>
            <w:gridSpan w:val="2"/>
            <w:shd w:val="clear" w:color="auto" w:fill="auto"/>
          </w:tcPr>
          <w:p w14:paraId="3F99D694" w14:textId="13734D45" w:rsidR="001E3568" w:rsidRPr="00FE4CB5" w:rsidRDefault="00C41C8D" w:rsidP="002D1A69">
            <w:pPr>
              <w:rPr>
                <w:rFonts w:asciiTheme="minorHAnsi" w:hAnsiTheme="minorHAnsi"/>
              </w:rPr>
            </w:pPr>
            <w:r w:rsidRPr="00FE4CB5">
              <w:rPr>
                <w:rFonts w:asciiTheme="minorHAnsi" w:hAnsiTheme="minorHAnsi"/>
              </w:rPr>
              <w:t>No there is not an import button available. All pricing and discounts must be entered on the bid sheet</w:t>
            </w:r>
            <w:r w:rsidR="00E01977" w:rsidRPr="00FE4CB5">
              <w:rPr>
                <w:rFonts w:asciiTheme="minorHAnsi" w:hAnsiTheme="minorHAnsi"/>
              </w:rPr>
              <w:t xml:space="preserve"> manually</w:t>
            </w:r>
            <w:r w:rsidRPr="00FE4CB5">
              <w:rPr>
                <w:rFonts w:asciiTheme="minorHAnsi" w:hAnsiTheme="minorHAnsi"/>
              </w:rPr>
              <w:t xml:space="preserve"> and submitted as an attachment in </w:t>
            </w:r>
            <w:r w:rsidR="00840B52" w:rsidRPr="00FE4CB5">
              <w:rPr>
                <w:rFonts w:asciiTheme="minorHAnsi" w:hAnsiTheme="minorHAnsi"/>
              </w:rPr>
              <w:t xml:space="preserve">the </w:t>
            </w:r>
            <w:r w:rsidRPr="00FE4CB5">
              <w:rPr>
                <w:rFonts w:asciiTheme="minorHAnsi" w:hAnsiTheme="minorHAnsi"/>
              </w:rPr>
              <w:t>Edison</w:t>
            </w:r>
            <w:r w:rsidR="00840B52" w:rsidRPr="00FE4CB5">
              <w:rPr>
                <w:rFonts w:asciiTheme="minorHAnsi" w:hAnsiTheme="minorHAnsi"/>
              </w:rPr>
              <w:t xml:space="preserve"> event when it is released</w:t>
            </w:r>
            <w:r w:rsidRPr="00FE4CB5">
              <w:rPr>
                <w:rFonts w:asciiTheme="minorHAnsi" w:hAnsiTheme="minorHAnsi"/>
              </w:rPr>
              <w:t>.</w:t>
            </w:r>
          </w:p>
        </w:tc>
      </w:tr>
      <w:tr w:rsidR="00FE4CB5" w:rsidRPr="00FE4CB5" w14:paraId="4E5890D2" w14:textId="77777777" w:rsidTr="00FE4CB5">
        <w:trPr>
          <w:trHeight w:val="288"/>
        </w:trPr>
        <w:tc>
          <w:tcPr>
            <w:tcW w:w="183" w:type="pct"/>
            <w:tcBorders>
              <w:right w:val="nil"/>
            </w:tcBorders>
          </w:tcPr>
          <w:p w14:paraId="54A93442"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62" w:type="pct"/>
            <w:gridSpan w:val="3"/>
            <w:tcBorders>
              <w:left w:val="nil"/>
            </w:tcBorders>
          </w:tcPr>
          <w:p w14:paraId="72722119" w14:textId="390665F5" w:rsidR="00360254" w:rsidRPr="00FE4CB5" w:rsidRDefault="00360254" w:rsidP="002D1A69">
            <w:pPr>
              <w:rPr>
                <w:rFonts w:asciiTheme="minorHAnsi" w:hAnsiTheme="minorHAnsi" w:cs="Arial"/>
              </w:rPr>
            </w:pPr>
            <w:r w:rsidRPr="00FE4CB5">
              <w:rPr>
                <w:rFonts w:asciiTheme="minorHAnsi" w:hAnsiTheme="minorHAnsi" w:cs="Arial"/>
              </w:rPr>
              <w:t>Do you have Attachment A SWC235 Evaluation Model? I do not see an attachment labeled this name.  However, the conference call presentation discussed this document.</w:t>
            </w:r>
          </w:p>
          <w:p w14:paraId="7A46AE40" w14:textId="77777777" w:rsidR="001E3568" w:rsidRPr="00FE4CB5" w:rsidRDefault="001E3568"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rPr>
            </w:pPr>
          </w:p>
        </w:tc>
        <w:tc>
          <w:tcPr>
            <w:tcW w:w="2755" w:type="pct"/>
            <w:gridSpan w:val="2"/>
            <w:shd w:val="clear" w:color="auto" w:fill="auto"/>
          </w:tcPr>
          <w:p w14:paraId="0497CB22" w14:textId="4C8C7E5A" w:rsidR="001E3568" w:rsidRPr="00FE4CB5" w:rsidRDefault="00095E07"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rPr>
            </w:pPr>
            <w:r w:rsidRPr="00FE4CB5">
              <w:rPr>
                <w:rFonts w:asciiTheme="minorHAnsi" w:hAnsiTheme="minorHAnsi" w:cs="Arial"/>
              </w:rPr>
              <w:t>Attachment A SWC235 Evaluation model is the same as the SWC235 final bid sheet in the RFI attachments.</w:t>
            </w:r>
          </w:p>
        </w:tc>
      </w:tr>
      <w:tr w:rsidR="00FE4CB5" w:rsidRPr="00FE4CB5" w14:paraId="6D3C3F4B" w14:textId="77777777" w:rsidTr="00FE4CB5">
        <w:trPr>
          <w:trHeight w:val="288"/>
        </w:trPr>
        <w:tc>
          <w:tcPr>
            <w:tcW w:w="183" w:type="pct"/>
            <w:tcBorders>
              <w:right w:val="nil"/>
            </w:tcBorders>
          </w:tcPr>
          <w:p w14:paraId="36B8AE58"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62" w:type="pct"/>
            <w:gridSpan w:val="3"/>
            <w:tcBorders>
              <w:left w:val="nil"/>
            </w:tcBorders>
          </w:tcPr>
          <w:p w14:paraId="66052894" w14:textId="56BB25F6" w:rsidR="001E3568" w:rsidRPr="00FE4CB5" w:rsidRDefault="00360254"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highlight w:val="yellow"/>
              </w:rPr>
            </w:pPr>
            <w:r w:rsidRPr="00FE4CB5">
              <w:rPr>
                <w:rFonts w:asciiTheme="minorHAnsi" w:hAnsiTheme="minorHAnsi"/>
              </w:rPr>
              <w:t xml:space="preserve"> </w:t>
            </w:r>
            <w:r w:rsidR="00E652F7" w:rsidRPr="00FE4CB5">
              <w:rPr>
                <w:rFonts w:asciiTheme="minorHAnsi" w:hAnsiTheme="minorHAnsi"/>
              </w:rPr>
              <w:t>S</w:t>
            </w:r>
            <w:r w:rsidRPr="00FE4CB5">
              <w:rPr>
                <w:rFonts w:asciiTheme="minorHAnsi" w:hAnsiTheme="minorHAnsi"/>
              </w:rPr>
              <w:t>ection 10 delivery – Are we being asked for a separate cost for delivery?</w:t>
            </w:r>
          </w:p>
        </w:tc>
        <w:tc>
          <w:tcPr>
            <w:tcW w:w="2755" w:type="pct"/>
            <w:gridSpan w:val="2"/>
            <w:shd w:val="clear" w:color="auto" w:fill="auto"/>
          </w:tcPr>
          <w:p w14:paraId="6EF2A1F6" w14:textId="611343D6" w:rsidR="001E3568" w:rsidRPr="00FE4CB5" w:rsidRDefault="00E652F7"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rPr>
            </w:pPr>
            <w:r w:rsidRPr="00FE4CB5">
              <w:rPr>
                <w:rFonts w:asciiTheme="minorHAnsi" w:hAnsiTheme="minorHAnsi" w:cs="Arial"/>
              </w:rPr>
              <w:t>Delivery cost must be quoted as a separate line item with each order</w:t>
            </w:r>
            <w:r w:rsidR="00A14DC1" w:rsidRPr="00FE4CB5">
              <w:rPr>
                <w:rFonts w:asciiTheme="minorHAnsi" w:hAnsiTheme="minorHAnsi" w:cs="Arial"/>
              </w:rPr>
              <w:t xml:space="preserve"> placed by an agency.</w:t>
            </w:r>
          </w:p>
        </w:tc>
      </w:tr>
      <w:tr w:rsidR="00FE4CB5" w:rsidRPr="00FE4CB5" w14:paraId="672B7DAC" w14:textId="77777777" w:rsidTr="00FE4CB5">
        <w:trPr>
          <w:trHeight w:val="288"/>
        </w:trPr>
        <w:tc>
          <w:tcPr>
            <w:tcW w:w="183" w:type="pct"/>
            <w:tcBorders>
              <w:right w:val="nil"/>
            </w:tcBorders>
          </w:tcPr>
          <w:p w14:paraId="3B5513DC"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62" w:type="pct"/>
            <w:gridSpan w:val="3"/>
            <w:tcBorders>
              <w:left w:val="nil"/>
            </w:tcBorders>
          </w:tcPr>
          <w:p w14:paraId="49E7C340" w14:textId="56AE7DF3" w:rsidR="001E3568" w:rsidRPr="00FE4CB5" w:rsidRDefault="00360254" w:rsidP="002D1A69">
            <w:pPr>
              <w:numPr>
                <w:ilvl w:val="12"/>
                <w:numId w:val="0"/>
              </w:numPr>
              <w:spacing w:before="120" w:after="20"/>
              <w:rPr>
                <w:rFonts w:asciiTheme="minorHAnsi" w:hAnsiTheme="minorHAnsi"/>
              </w:rPr>
            </w:pPr>
            <w:r w:rsidRPr="00FE4CB5">
              <w:rPr>
                <w:rFonts w:asciiTheme="minorHAnsi" w:hAnsiTheme="minorHAnsi"/>
              </w:rPr>
              <w:t>Attachment B – do we have Attachment B?</w:t>
            </w:r>
          </w:p>
        </w:tc>
        <w:tc>
          <w:tcPr>
            <w:tcW w:w="2755" w:type="pct"/>
            <w:gridSpan w:val="2"/>
            <w:shd w:val="clear" w:color="auto" w:fill="auto"/>
          </w:tcPr>
          <w:p w14:paraId="5B3A5068" w14:textId="523490F6" w:rsidR="001E3568" w:rsidRPr="00FE4CB5" w:rsidRDefault="001505E0" w:rsidP="002D1A69">
            <w:pPr>
              <w:rPr>
                <w:rFonts w:asciiTheme="minorHAnsi" w:hAnsiTheme="minorHAnsi"/>
              </w:rPr>
            </w:pPr>
            <w:r w:rsidRPr="00FE4CB5">
              <w:rPr>
                <w:rFonts w:asciiTheme="minorHAnsi" w:hAnsiTheme="minorHAnsi"/>
              </w:rPr>
              <w:t>Attachment B  on the RFI is the Category List Summary.</w:t>
            </w:r>
          </w:p>
        </w:tc>
      </w:tr>
      <w:tr w:rsidR="00FE4CB5" w:rsidRPr="00FE4CB5" w14:paraId="47DF287A" w14:textId="77777777" w:rsidTr="00FE4CB5">
        <w:trPr>
          <w:trHeight w:val="288"/>
        </w:trPr>
        <w:tc>
          <w:tcPr>
            <w:tcW w:w="186" w:type="pct"/>
            <w:gridSpan w:val="2"/>
            <w:tcBorders>
              <w:right w:val="nil"/>
            </w:tcBorders>
          </w:tcPr>
          <w:p w14:paraId="57696080"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00A7FE13" w14:textId="5F911E78" w:rsidR="001E3568" w:rsidRPr="00FE4CB5" w:rsidRDefault="000225BF" w:rsidP="002D1A69">
            <w:pPr>
              <w:numPr>
                <w:ilvl w:val="12"/>
                <w:numId w:val="0"/>
              </w:numPr>
              <w:spacing w:before="120" w:after="20"/>
              <w:rPr>
                <w:rFonts w:asciiTheme="minorHAnsi" w:hAnsiTheme="minorHAnsi"/>
              </w:rPr>
            </w:pPr>
            <w:r w:rsidRPr="00FE4CB5">
              <w:rPr>
                <w:rFonts w:asciiTheme="minorHAnsi" w:hAnsiTheme="minorHAnsi"/>
              </w:rPr>
              <w:t>Can you supply the Exact (or close to Exact) currently used manufacturer brand names/part numbers (Grainger, Fastenal, etc.) under “Item Description” column of each category/subcategory tab, so we can cross reference for better pricing to exacts as possible?  Are alternate / similar products acceptable?</w:t>
            </w:r>
          </w:p>
        </w:tc>
        <w:tc>
          <w:tcPr>
            <w:tcW w:w="2742" w:type="pct"/>
            <w:shd w:val="clear" w:color="auto" w:fill="auto"/>
          </w:tcPr>
          <w:p w14:paraId="47CABDC6" w14:textId="61F6EFB0" w:rsidR="001E3568" w:rsidRPr="00FE4CB5" w:rsidRDefault="00C55A9B"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rPr>
            </w:pPr>
            <w:r w:rsidRPr="00AB7047">
              <w:rPr>
                <w:rFonts w:asciiTheme="minorHAnsi" w:hAnsiTheme="minorHAnsi"/>
              </w:rPr>
              <w:t xml:space="preserve">The </w:t>
            </w:r>
            <w:r w:rsidR="0027321A" w:rsidRPr="00AB7047">
              <w:rPr>
                <w:rFonts w:asciiTheme="minorHAnsi" w:hAnsiTheme="minorHAnsi"/>
              </w:rPr>
              <w:t>S</w:t>
            </w:r>
            <w:r w:rsidRPr="00AB7047">
              <w:rPr>
                <w:rFonts w:asciiTheme="minorHAnsi" w:hAnsiTheme="minorHAnsi"/>
              </w:rPr>
              <w:t>tate is not looking for a specific brand for any of the commodities listed. Any product bid on the core items must be a national brand or an inhouse brand that is of equal to or better quality.</w:t>
            </w:r>
          </w:p>
        </w:tc>
      </w:tr>
      <w:tr w:rsidR="00FE4CB5" w:rsidRPr="00FE4CB5" w14:paraId="1850048F" w14:textId="77777777" w:rsidTr="00FE4CB5">
        <w:trPr>
          <w:trHeight w:val="288"/>
        </w:trPr>
        <w:tc>
          <w:tcPr>
            <w:tcW w:w="186" w:type="pct"/>
            <w:gridSpan w:val="2"/>
            <w:tcBorders>
              <w:right w:val="nil"/>
            </w:tcBorders>
          </w:tcPr>
          <w:p w14:paraId="5720A391"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1F3E44B8" w14:textId="31DC4EF1" w:rsidR="000225BF" w:rsidRPr="00FE4CB5" w:rsidRDefault="000225BF" w:rsidP="002D1A69">
            <w:pPr>
              <w:rPr>
                <w:rFonts w:asciiTheme="minorHAnsi" w:hAnsiTheme="minorHAnsi"/>
              </w:rPr>
            </w:pPr>
            <w:r w:rsidRPr="00FE4CB5">
              <w:rPr>
                <w:rFonts w:asciiTheme="minorHAnsi" w:hAnsiTheme="minorHAnsi"/>
              </w:rPr>
              <w:t>On the spreadsheet we received, a 20% discount already inserted on the HVAC and Electrical category tabs.  Is this a mistake or is the 20% a minimum requirement versus the 15% minimum mentioned on the tabs?  If a mistake, can the spreadsheet be revised/corrected and resent back to us?</w:t>
            </w:r>
          </w:p>
          <w:p w14:paraId="1A2FC3F3" w14:textId="77777777" w:rsidR="001E3568" w:rsidRPr="00FE4CB5" w:rsidRDefault="001E3568" w:rsidP="002D1A69">
            <w:pPr>
              <w:numPr>
                <w:ilvl w:val="12"/>
                <w:numId w:val="0"/>
              </w:numPr>
              <w:spacing w:before="120" w:after="20"/>
              <w:rPr>
                <w:rFonts w:asciiTheme="minorHAnsi" w:hAnsiTheme="minorHAnsi"/>
              </w:rPr>
            </w:pPr>
          </w:p>
        </w:tc>
        <w:tc>
          <w:tcPr>
            <w:tcW w:w="2742" w:type="pct"/>
            <w:shd w:val="clear" w:color="auto" w:fill="auto"/>
          </w:tcPr>
          <w:p w14:paraId="357D05B0" w14:textId="4F34D707" w:rsidR="001E3568" w:rsidRPr="00FE4CB5" w:rsidRDefault="000225BF" w:rsidP="002D1A69">
            <w:pPr>
              <w:rPr>
                <w:rFonts w:asciiTheme="minorHAnsi" w:hAnsiTheme="minorHAnsi"/>
              </w:rPr>
            </w:pPr>
            <w:r w:rsidRPr="00FE4CB5">
              <w:rPr>
                <w:rFonts w:asciiTheme="minorHAnsi" w:hAnsiTheme="minorHAnsi"/>
              </w:rPr>
              <w:t>This has been corrected on both tabs.</w:t>
            </w:r>
          </w:p>
        </w:tc>
      </w:tr>
      <w:tr w:rsidR="00FE4CB5" w:rsidRPr="00FE4CB5" w14:paraId="6C3D5889" w14:textId="77777777" w:rsidTr="00FE4CB5">
        <w:trPr>
          <w:trHeight w:val="288"/>
        </w:trPr>
        <w:tc>
          <w:tcPr>
            <w:tcW w:w="186" w:type="pct"/>
            <w:gridSpan w:val="2"/>
            <w:tcBorders>
              <w:right w:val="nil"/>
            </w:tcBorders>
          </w:tcPr>
          <w:p w14:paraId="50CBB0B3"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31469932" w14:textId="14C4C9CD" w:rsidR="001E3568" w:rsidRPr="00FE4CB5" w:rsidRDefault="00927874" w:rsidP="002D1A69">
            <w:pPr>
              <w:numPr>
                <w:ilvl w:val="12"/>
                <w:numId w:val="0"/>
              </w:numPr>
              <w:spacing w:before="120" w:after="20"/>
              <w:rPr>
                <w:rFonts w:asciiTheme="minorHAnsi" w:hAnsiTheme="minorHAnsi"/>
              </w:rPr>
            </w:pPr>
            <w:r w:rsidRPr="00FE4CB5">
              <w:rPr>
                <w:rFonts w:asciiTheme="minorHAnsi" w:hAnsiTheme="minorHAnsi"/>
              </w:rPr>
              <w:t>On the bottom of each of the Category/Subcategory Tabs (10), there are listed (starting around line 210 -220) around 45 general subcategories that seem to be the related to the Janitorial Category/Subcategory.  What are these for or are they may be a mistake on the spreadsheet?  If a mistake, can the spreadsheet be revised/corrected and resent back to us?</w:t>
            </w:r>
          </w:p>
        </w:tc>
        <w:tc>
          <w:tcPr>
            <w:tcW w:w="2742" w:type="pct"/>
            <w:shd w:val="clear" w:color="auto" w:fill="auto"/>
          </w:tcPr>
          <w:p w14:paraId="7C6FE8A7" w14:textId="01531425" w:rsidR="001E3568" w:rsidRPr="00FE4CB5" w:rsidRDefault="00927874" w:rsidP="002D1A69">
            <w:pPr>
              <w:rPr>
                <w:rFonts w:asciiTheme="minorHAnsi" w:hAnsiTheme="minorHAnsi"/>
              </w:rPr>
            </w:pPr>
            <w:r w:rsidRPr="00FE4CB5">
              <w:rPr>
                <w:rFonts w:asciiTheme="minorHAnsi" w:hAnsiTheme="minorHAnsi"/>
              </w:rPr>
              <w:t>The additional sub-categories on each tab have been removed.</w:t>
            </w:r>
          </w:p>
        </w:tc>
      </w:tr>
      <w:tr w:rsidR="00FE4CB5" w:rsidRPr="00FE4CB5" w14:paraId="21D05C40" w14:textId="77777777" w:rsidTr="00FE4CB5">
        <w:trPr>
          <w:trHeight w:val="288"/>
        </w:trPr>
        <w:tc>
          <w:tcPr>
            <w:tcW w:w="186" w:type="pct"/>
            <w:gridSpan w:val="2"/>
            <w:tcBorders>
              <w:right w:val="nil"/>
            </w:tcBorders>
          </w:tcPr>
          <w:p w14:paraId="087A6201"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5A0E78EF" w14:textId="482C4A71" w:rsidR="001E3568" w:rsidRPr="00FE4CB5" w:rsidRDefault="00A90A85"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rPr>
            </w:pPr>
            <w:r w:rsidRPr="00FE4CB5">
              <w:rPr>
                <w:rFonts w:asciiTheme="minorHAnsi" w:hAnsiTheme="minorHAnsi" w:cs="Arial"/>
              </w:rPr>
              <w:t>What, if any data, would you like us to present at this time, since we are not on the current state MRO contract?  Would we fill out “Not Applicable” at this time?</w:t>
            </w:r>
          </w:p>
        </w:tc>
        <w:tc>
          <w:tcPr>
            <w:tcW w:w="2742" w:type="pct"/>
            <w:shd w:val="clear" w:color="auto" w:fill="auto"/>
          </w:tcPr>
          <w:p w14:paraId="784247FB" w14:textId="1BF15B69" w:rsidR="001E3568" w:rsidRPr="00FE4CB5" w:rsidRDefault="00E04AA6"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rPr>
            </w:pPr>
            <w:r w:rsidRPr="00FE4CB5">
              <w:rPr>
                <w:rFonts w:asciiTheme="minorHAnsi" w:hAnsiTheme="minorHAnsi" w:cs="Arial"/>
              </w:rPr>
              <w:t xml:space="preserve">None at this time is due </w:t>
            </w:r>
          </w:p>
        </w:tc>
      </w:tr>
      <w:tr w:rsidR="00FE4CB5" w:rsidRPr="00FE4CB5" w14:paraId="6CDD62F2" w14:textId="77777777" w:rsidTr="00FE4CB5">
        <w:trPr>
          <w:trHeight w:val="288"/>
        </w:trPr>
        <w:tc>
          <w:tcPr>
            <w:tcW w:w="186" w:type="pct"/>
            <w:gridSpan w:val="2"/>
            <w:tcBorders>
              <w:right w:val="nil"/>
            </w:tcBorders>
          </w:tcPr>
          <w:p w14:paraId="516FC4A9"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47D87730" w14:textId="261F85EE" w:rsidR="001E3568" w:rsidRPr="00FE4CB5" w:rsidRDefault="00D07DB8"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highlight w:val="yellow"/>
              </w:rPr>
            </w:pPr>
            <w:r w:rsidRPr="00FE4CB5">
              <w:rPr>
                <w:rFonts w:asciiTheme="minorHAnsi" w:hAnsiTheme="minorHAnsi"/>
              </w:rPr>
              <w:t>Has the minimum discount changed on any of the commodity tabs?</w:t>
            </w:r>
          </w:p>
        </w:tc>
        <w:tc>
          <w:tcPr>
            <w:tcW w:w="2742" w:type="pct"/>
            <w:shd w:val="clear" w:color="auto" w:fill="auto"/>
          </w:tcPr>
          <w:p w14:paraId="56614693" w14:textId="4B2BDBD4" w:rsidR="001E3568" w:rsidRPr="00FE4CB5" w:rsidRDefault="00D07DB8" w:rsidP="002D1A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Theme="minorHAnsi" w:hAnsiTheme="minorHAnsi" w:cs="Arial"/>
                <w:highlight w:val="yellow"/>
              </w:rPr>
            </w:pPr>
            <w:r w:rsidRPr="00FE4CB5">
              <w:rPr>
                <w:rFonts w:asciiTheme="minorHAnsi" w:hAnsiTheme="minorHAnsi" w:cs="Arial"/>
              </w:rPr>
              <w:t xml:space="preserve">Yes, and please note the adjusted minimum required. </w:t>
            </w:r>
          </w:p>
        </w:tc>
      </w:tr>
      <w:tr w:rsidR="00FE4CB5" w:rsidRPr="00FE4CB5" w14:paraId="20279E41" w14:textId="77777777" w:rsidTr="00FE4CB5">
        <w:trPr>
          <w:trHeight w:val="288"/>
        </w:trPr>
        <w:tc>
          <w:tcPr>
            <w:tcW w:w="186" w:type="pct"/>
            <w:gridSpan w:val="2"/>
            <w:tcBorders>
              <w:right w:val="nil"/>
            </w:tcBorders>
          </w:tcPr>
          <w:p w14:paraId="0429CD30" w14:textId="77777777" w:rsidR="001E3568" w:rsidRPr="00FE4CB5" w:rsidRDefault="001E3568" w:rsidP="002D1A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ind w:left="0"/>
              <w:rPr>
                <w:rFonts w:asciiTheme="minorHAnsi" w:hAnsiTheme="minorHAnsi" w:cs="Arial"/>
              </w:rPr>
            </w:pPr>
          </w:p>
        </w:tc>
        <w:tc>
          <w:tcPr>
            <w:tcW w:w="2072" w:type="pct"/>
            <w:gridSpan w:val="3"/>
            <w:tcBorders>
              <w:left w:val="nil"/>
            </w:tcBorders>
          </w:tcPr>
          <w:p w14:paraId="0A1D2B84" w14:textId="37B62D39" w:rsidR="00A14DC1" w:rsidRPr="00FE4CB5" w:rsidRDefault="00A14DC1" w:rsidP="002D1A69">
            <w:pPr>
              <w:numPr>
                <w:ilvl w:val="12"/>
                <w:numId w:val="0"/>
              </w:numPr>
              <w:spacing w:before="120" w:after="20"/>
              <w:rPr>
                <w:rFonts w:asciiTheme="minorHAnsi" w:hAnsiTheme="minorHAnsi"/>
              </w:rPr>
            </w:pPr>
            <w:r w:rsidRPr="00FE4CB5">
              <w:rPr>
                <w:rFonts w:asciiTheme="minorHAnsi" w:hAnsiTheme="minorHAnsi"/>
              </w:rPr>
              <w:t xml:space="preserve">Questions about the Diversity certifications.  </w:t>
            </w:r>
          </w:p>
          <w:p w14:paraId="1C1B25BF" w14:textId="77777777" w:rsidR="00A14DC1" w:rsidRPr="00FE4CB5" w:rsidRDefault="00A14DC1" w:rsidP="002D1A69">
            <w:pPr>
              <w:numPr>
                <w:ilvl w:val="12"/>
                <w:numId w:val="0"/>
              </w:numPr>
              <w:spacing w:before="120" w:after="20"/>
              <w:rPr>
                <w:rFonts w:asciiTheme="minorHAnsi" w:hAnsiTheme="minorHAnsi"/>
              </w:rPr>
            </w:pPr>
          </w:p>
          <w:p w14:paraId="5883CC1A" w14:textId="77777777" w:rsidR="00A14DC1" w:rsidRPr="00FE4CB5" w:rsidRDefault="00A14DC1" w:rsidP="002D1A69">
            <w:pPr>
              <w:numPr>
                <w:ilvl w:val="12"/>
                <w:numId w:val="0"/>
              </w:numPr>
              <w:spacing w:before="120" w:after="20"/>
              <w:rPr>
                <w:rFonts w:asciiTheme="minorHAnsi" w:hAnsiTheme="minorHAnsi"/>
              </w:rPr>
            </w:pPr>
            <w:r w:rsidRPr="00FE4CB5">
              <w:rPr>
                <w:rFonts w:asciiTheme="minorHAnsi" w:hAnsiTheme="minorHAnsi"/>
              </w:rPr>
              <w:t xml:space="preserve">What is the requirement? i.e. State, City, or National certification. </w:t>
            </w:r>
          </w:p>
          <w:p w14:paraId="5339F8BB" w14:textId="77777777" w:rsidR="00A14DC1" w:rsidRPr="00FE4CB5" w:rsidRDefault="00A14DC1" w:rsidP="002D1A69">
            <w:pPr>
              <w:numPr>
                <w:ilvl w:val="12"/>
                <w:numId w:val="0"/>
              </w:numPr>
              <w:spacing w:before="120" w:after="20"/>
              <w:rPr>
                <w:rFonts w:asciiTheme="minorHAnsi" w:hAnsiTheme="minorHAnsi"/>
              </w:rPr>
            </w:pPr>
            <w:r w:rsidRPr="00FE4CB5">
              <w:rPr>
                <w:rFonts w:asciiTheme="minorHAnsi" w:hAnsiTheme="minorHAnsi"/>
              </w:rPr>
              <w:t>What is the diverse % requirement? i.e. xx% MBE, xx WBE% etc.</w:t>
            </w:r>
          </w:p>
          <w:p w14:paraId="52B153DF" w14:textId="77777777" w:rsidR="001E3568" w:rsidRPr="00FE4CB5" w:rsidRDefault="001E3568" w:rsidP="002D1A69">
            <w:pPr>
              <w:numPr>
                <w:ilvl w:val="12"/>
                <w:numId w:val="0"/>
              </w:numPr>
              <w:spacing w:before="120" w:after="20"/>
              <w:rPr>
                <w:rFonts w:asciiTheme="minorHAnsi" w:hAnsiTheme="minorHAnsi"/>
              </w:rPr>
            </w:pPr>
          </w:p>
        </w:tc>
        <w:tc>
          <w:tcPr>
            <w:tcW w:w="2742" w:type="pct"/>
            <w:shd w:val="clear" w:color="auto" w:fill="auto"/>
          </w:tcPr>
          <w:p w14:paraId="77EB7D02" w14:textId="0668C7B4" w:rsidR="001E3568" w:rsidRPr="00FE4CB5" w:rsidRDefault="00E04AA6" w:rsidP="002D1A69">
            <w:pPr>
              <w:rPr>
                <w:rFonts w:asciiTheme="minorHAnsi" w:hAnsiTheme="minorHAnsi"/>
              </w:rPr>
            </w:pPr>
            <w:r w:rsidRPr="00FE4CB5">
              <w:rPr>
                <w:rFonts w:asciiTheme="minorHAnsi" w:hAnsiTheme="minorHAnsi"/>
              </w:rPr>
              <w:t>Certification is not required. However, we encourage certification if you believe you are eligible. This would be certification with the State of Tennessee. You can access the application by going to TN.DiversitySoftware.com. In order to qualify the majority owner must own and control at least 51% of the business.</w:t>
            </w:r>
          </w:p>
        </w:tc>
      </w:tr>
    </w:tbl>
    <w:p w14:paraId="40BDF3AB" w14:textId="77777777" w:rsidR="001E3568" w:rsidRPr="00FE4CB5" w:rsidRDefault="001E3568" w:rsidP="001E3568"/>
    <w:p w14:paraId="422D83C5" w14:textId="77777777" w:rsidR="001E3568" w:rsidRPr="00FE4CB5" w:rsidRDefault="001E3568" w:rsidP="001E3568"/>
    <w:p w14:paraId="2AEEE614" w14:textId="77777777" w:rsidR="001E3568" w:rsidRPr="00FE4CB5" w:rsidRDefault="001E3568" w:rsidP="001E3568"/>
    <w:p w14:paraId="0A810BCD" w14:textId="77777777" w:rsidR="001E3568" w:rsidRPr="00FE4CB5" w:rsidRDefault="001E3568" w:rsidP="001E3568"/>
    <w:p w14:paraId="74A3EA08" w14:textId="77777777" w:rsidR="00894CB3" w:rsidRPr="00FE4CB5" w:rsidRDefault="00894CB3">
      <w:pPr>
        <w:rPr>
          <w:rFonts w:ascii="Calibri" w:hAnsi="Calibri" w:cs="Calibri"/>
        </w:rPr>
      </w:pPr>
    </w:p>
    <w:sectPr w:rsidR="00894CB3" w:rsidRPr="00FE4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F274" w14:textId="77777777" w:rsidR="00371106" w:rsidRDefault="00371106" w:rsidP="00223221">
      <w:r>
        <w:separator/>
      </w:r>
    </w:p>
  </w:endnote>
  <w:endnote w:type="continuationSeparator" w:id="0">
    <w:p w14:paraId="7C0C7A59" w14:textId="77777777" w:rsidR="00371106" w:rsidRDefault="00371106" w:rsidP="002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6F4D" w14:textId="77777777" w:rsidR="00371106" w:rsidRDefault="00371106" w:rsidP="00223221">
      <w:r>
        <w:separator/>
      </w:r>
    </w:p>
  </w:footnote>
  <w:footnote w:type="continuationSeparator" w:id="0">
    <w:p w14:paraId="4CB8597B" w14:textId="77777777" w:rsidR="00371106" w:rsidRDefault="00371106" w:rsidP="0022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7C7"/>
    <w:multiLevelType w:val="hybridMultilevel"/>
    <w:tmpl w:val="A1EC77F0"/>
    <w:lvl w:ilvl="0" w:tplc="8F6486C6">
      <w:start w:val="1"/>
      <w:numFmt w:val="decimal"/>
      <w:lvlText w:val="%1"/>
      <w:lvlJc w:val="left"/>
      <w:pPr>
        <w:tabs>
          <w:tab w:val="num" w:pos="90"/>
        </w:tabs>
        <w:ind w:left="90" w:firstLine="0"/>
      </w:pPr>
      <w:rPr>
        <w:rFonts w:asciiTheme="minorHAnsi" w:hAnsiTheme="minorHAns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C62B58"/>
    <w:multiLevelType w:val="multilevel"/>
    <w:tmpl w:val="0DA6E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541913">
    <w:abstractNumId w:val="0"/>
  </w:num>
  <w:num w:numId="2" w16cid:durableId="1095516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5"/>
    <w:rsid w:val="000019B2"/>
    <w:rsid w:val="0001275A"/>
    <w:rsid w:val="00013BCA"/>
    <w:rsid w:val="000179DD"/>
    <w:rsid w:val="000225BF"/>
    <w:rsid w:val="000254BC"/>
    <w:rsid w:val="00027093"/>
    <w:rsid w:val="0002740D"/>
    <w:rsid w:val="00034012"/>
    <w:rsid w:val="00036612"/>
    <w:rsid w:val="00037513"/>
    <w:rsid w:val="000402EF"/>
    <w:rsid w:val="00040320"/>
    <w:rsid w:val="000410AE"/>
    <w:rsid w:val="0004440D"/>
    <w:rsid w:val="00046EEE"/>
    <w:rsid w:val="00051D3A"/>
    <w:rsid w:val="00053652"/>
    <w:rsid w:val="000562C1"/>
    <w:rsid w:val="000654B5"/>
    <w:rsid w:val="00072079"/>
    <w:rsid w:val="00073F1D"/>
    <w:rsid w:val="000823CB"/>
    <w:rsid w:val="00085FF2"/>
    <w:rsid w:val="00086CC9"/>
    <w:rsid w:val="00086FCB"/>
    <w:rsid w:val="00090E00"/>
    <w:rsid w:val="000940EA"/>
    <w:rsid w:val="00095E07"/>
    <w:rsid w:val="000A4ACA"/>
    <w:rsid w:val="000A5AE5"/>
    <w:rsid w:val="000A79C7"/>
    <w:rsid w:val="000B1C63"/>
    <w:rsid w:val="000D137C"/>
    <w:rsid w:val="000D1FF5"/>
    <w:rsid w:val="000D207A"/>
    <w:rsid w:val="000D301E"/>
    <w:rsid w:val="000D5179"/>
    <w:rsid w:val="000D5BD1"/>
    <w:rsid w:val="000E0454"/>
    <w:rsid w:val="000E702C"/>
    <w:rsid w:val="000E7929"/>
    <w:rsid w:val="000F157B"/>
    <w:rsid w:val="000F1E3A"/>
    <w:rsid w:val="000F59ED"/>
    <w:rsid w:val="000F67E9"/>
    <w:rsid w:val="00102BC2"/>
    <w:rsid w:val="00114297"/>
    <w:rsid w:val="00120A55"/>
    <w:rsid w:val="00123EDA"/>
    <w:rsid w:val="00125C00"/>
    <w:rsid w:val="00130028"/>
    <w:rsid w:val="001355A1"/>
    <w:rsid w:val="001376E6"/>
    <w:rsid w:val="00140057"/>
    <w:rsid w:val="001505E0"/>
    <w:rsid w:val="001519A0"/>
    <w:rsid w:val="00153253"/>
    <w:rsid w:val="00156535"/>
    <w:rsid w:val="001600C9"/>
    <w:rsid w:val="00163519"/>
    <w:rsid w:val="00163A65"/>
    <w:rsid w:val="00170BED"/>
    <w:rsid w:val="001738A2"/>
    <w:rsid w:val="001763A1"/>
    <w:rsid w:val="00190A08"/>
    <w:rsid w:val="001A1633"/>
    <w:rsid w:val="001A16B2"/>
    <w:rsid w:val="001A26EA"/>
    <w:rsid w:val="001A3472"/>
    <w:rsid w:val="001A5518"/>
    <w:rsid w:val="001B273B"/>
    <w:rsid w:val="001B2C78"/>
    <w:rsid w:val="001B646B"/>
    <w:rsid w:val="001C0E91"/>
    <w:rsid w:val="001C1E13"/>
    <w:rsid w:val="001C67BD"/>
    <w:rsid w:val="001D2961"/>
    <w:rsid w:val="001D4BBE"/>
    <w:rsid w:val="001E1966"/>
    <w:rsid w:val="001E3568"/>
    <w:rsid w:val="001E48CD"/>
    <w:rsid w:val="001E720A"/>
    <w:rsid w:val="001F0913"/>
    <w:rsid w:val="001F1349"/>
    <w:rsid w:val="001F33DF"/>
    <w:rsid w:val="001F477D"/>
    <w:rsid w:val="002039FB"/>
    <w:rsid w:val="00212EDD"/>
    <w:rsid w:val="00221610"/>
    <w:rsid w:val="00223221"/>
    <w:rsid w:val="00224965"/>
    <w:rsid w:val="00226672"/>
    <w:rsid w:val="00230706"/>
    <w:rsid w:val="00241DD2"/>
    <w:rsid w:val="002439D4"/>
    <w:rsid w:val="0025095A"/>
    <w:rsid w:val="00261AF5"/>
    <w:rsid w:val="00261C99"/>
    <w:rsid w:val="00263F33"/>
    <w:rsid w:val="0026534A"/>
    <w:rsid w:val="00271E44"/>
    <w:rsid w:val="0027321A"/>
    <w:rsid w:val="00280822"/>
    <w:rsid w:val="00280FCF"/>
    <w:rsid w:val="00284906"/>
    <w:rsid w:val="00286E28"/>
    <w:rsid w:val="0029057A"/>
    <w:rsid w:val="00294F51"/>
    <w:rsid w:val="002A2044"/>
    <w:rsid w:val="002A2B68"/>
    <w:rsid w:val="002B562A"/>
    <w:rsid w:val="002D1076"/>
    <w:rsid w:val="002D1A69"/>
    <w:rsid w:val="002D4142"/>
    <w:rsid w:val="002D7CE9"/>
    <w:rsid w:val="002E3D06"/>
    <w:rsid w:val="002E5F33"/>
    <w:rsid w:val="002E6A06"/>
    <w:rsid w:val="002F4070"/>
    <w:rsid w:val="002F4BA6"/>
    <w:rsid w:val="002F5F7B"/>
    <w:rsid w:val="003049E2"/>
    <w:rsid w:val="003076F8"/>
    <w:rsid w:val="00312487"/>
    <w:rsid w:val="0031352D"/>
    <w:rsid w:val="0032214E"/>
    <w:rsid w:val="00322641"/>
    <w:rsid w:val="00323A66"/>
    <w:rsid w:val="00330C44"/>
    <w:rsid w:val="0033337B"/>
    <w:rsid w:val="00335690"/>
    <w:rsid w:val="0034176C"/>
    <w:rsid w:val="00343A4C"/>
    <w:rsid w:val="00344768"/>
    <w:rsid w:val="00344E15"/>
    <w:rsid w:val="0035107F"/>
    <w:rsid w:val="00352E0D"/>
    <w:rsid w:val="00360254"/>
    <w:rsid w:val="00360A2D"/>
    <w:rsid w:val="00362D04"/>
    <w:rsid w:val="0036411E"/>
    <w:rsid w:val="00371106"/>
    <w:rsid w:val="00374F2E"/>
    <w:rsid w:val="00381F83"/>
    <w:rsid w:val="0038226C"/>
    <w:rsid w:val="0038228C"/>
    <w:rsid w:val="00384B16"/>
    <w:rsid w:val="00390983"/>
    <w:rsid w:val="00390E7D"/>
    <w:rsid w:val="003A347F"/>
    <w:rsid w:val="003A5F45"/>
    <w:rsid w:val="003A5F92"/>
    <w:rsid w:val="003A70EE"/>
    <w:rsid w:val="003B4744"/>
    <w:rsid w:val="003B64DF"/>
    <w:rsid w:val="003C0CED"/>
    <w:rsid w:val="003C1B04"/>
    <w:rsid w:val="003C1FEB"/>
    <w:rsid w:val="003C721D"/>
    <w:rsid w:val="003C748A"/>
    <w:rsid w:val="003C7F69"/>
    <w:rsid w:val="003D5F70"/>
    <w:rsid w:val="003E59A9"/>
    <w:rsid w:val="003F52D1"/>
    <w:rsid w:val="003F6D89"/>
    <w:rsid w:val="00406E16"/>
    <w:rsid w:val="004112F0"/>
    <w:rsid w:val="004179B6"/>
    <w:rsid w:val="00430051"/>
    <w:rsid w:val="00447569"/>
    <w:rsid w:val="004501F7"/>
    <w:rsid w:val="004518E1"/>
    <w:rsid w:val="004537B9"/>
    <w:rsid w:val="00454EA0"/>
    <w:rsid w:val="00462275"/>
    <w:rsid w:val="004724D6"/>
    <w:rsid w:val="00473AB7"/>
    <w:rsid w:val="00477202"/>
    <w:rsid w:val="004837E2"/>
    <w:rsid w:val="00494670"/>
    <w:rsid w:val="00494DD3"/>
    <w:rsid w:val="004A038C"/>
    <w:rsid w:val="004A6363"/>
    <w:rsid w:val="004C03A3"/>
    <w:rsid w:val="004D268F"/>
    <w:rsid w:val="004D5EDE"/>
    <w:rsid w:val="004E18BD"/>
    <w:rsid w:val="004E23D2"/>
    <w:rsid w:val="004E6337"/>
    <w:rsid w:val="004F6E29"/>
    <w:rsid w:val="004F7913"/>
    <w:rsid w:val="0050113D"/>
    <w:rsid w:val="005017AE"/>
    <w:rsid w:val="00510ACA"/>
    <w:rsid w:val="00522A1F"/>
    <w:rsid w:val="00525D25"/>
    <w:rsid w:val="00530208"/>
    <w:rsid w:val="00533CAA"/>
    <w:rsid w:val="00562168"/>
    <w:rsid w:val="00563C65"/>
    <w:rsid w:val="00563CE9"/>
    <w:rsid w:val="005660DA"/>
    <w:rsid w:val="00570521"/>
    <w:rsid w:val="005707CF"/>
    <w:rsid w:val="0057597B"/>
    <w:rsid w:val="005830BF"/>
    <w:rsid w:val="00586DDC"/>
    <w:rsid w:val="005906D4"/>
    <w:rsid w:val="005A1DA7"/>
    <w:rsid w:val="005A3021"/>
    <w:rsid w:val="005A3356"/>
    <w:rsid w:val="005A3933"/>
    <w:rsid w:val="005B1F7C"/>
    <w:rsid w:val="005B2C32"/>
    <w:rsid w:val="005B7B4A"/>
    <w:rsid w:val="005C0C45"/>
    <w:rsid w:val="005C0F4F"/>
    <w:rsid w:val="005C1340"/>
    <w:rsid w:val="005C32CC"/>
    <w:rsid w:val="005C3ACB"/>
    <w:rsid w:val="005C4CA6"/>
    <w:rsid w:val="005C4FBC"/>
    <w:rsid w:val="005C7525"/>
    <w:rsid w:val="005D6DE2"/>
    <w:rsid w:val="005D766E"/>
    <w:rsid w:val="005D7D4E"/>
    <w:rsid w:val="005E7F82"/>
    <w:rsid w:val="005F4BF2"/>
    <w:rsid w:val="005F679E"/>
    <w:rsid w:val="006025F3"/>
    <w:rsid w:val="00607AEA"/>
    <w:rsid w:val="00610E40"/>
    <w:rsid w:val="0061130B"/>
    <w:rsid w:val="006221FE"/>
    <w:rsid w:val="0062777D"/>
    <w:rsid w:val="00632802"/>
    <w:rsid w:val="00632927"/>
    <w:rsid w:val="00640E5A"/>
    <w:rsid w:val="00653C59"/>
    <w:rsid w:val="00655B65"/>
    <w:rsid w:val="00656743"/>
    <w:rsid w:val="00657734"/>
    <w:rsid w:val="00660286"/>
    <w:rsid w:val="006606E8"/>
    <w:rsid w:val="00667396"/>
    <w:rsid w:val="00670BF5"/>
    <w:rsid w:val="006740AC"/>
    <w:rsid w:val="00682D8A"/>
    <w:rsid w:val="0068763B"/>
    <w:rsid w:val="00691A0F"/>
    <w:rsid w:val="00691BA0"/>
    <w:rsid w:val="006943AB"/>
    <w:rsid w:val="00694586"/>
    <w:rsid w:val="006A14EF"/>
    <w:rsid w:val="006A2ABF"/>
    <w:rsid w:val="006A7D00"/>
    <w:rsid w:val="006B14F6"/>
    <w:rsid w:val="006B5026"/>
    <w:rsid w:val="006B54A2"/>
    <w:rsid w:val="006B7354"/>
    <w:rsid w:val="006C65FF"/>
    <w:rsid w:val="006D0CEE"/>
    <w:rsid w:val="006D1725"/>
    <w:rsid w:val="006E0C3A"/>
    <w:rsid w:val="006E2E22"/>
    <w:rsid w:val="006E3A2E"/>
    <w:rsid w:val="006F3701"/>
    <w:rsid w:val="007079D1"/>
    <w:rsid w:val="007115CC"/>
    <w:rsid w:val="00730796"/>
    <w:rsid w:val="007307CC"/>
    <w:rsid w:val="007320A3"/>
    <w:rsid w:val="00742B52"/>
    <w:rsid w:val="00742BE1"/>
    <w:rsid w:val="007464CE"/>
    <w:rsid w:val="00752AA2"/>
    <w:rsid w:val="00753B29"/>
    <w:rsid w:val="007571B3"/>
    <w:rsid w:val="007652BB"/>
    <w:rsid w:val="00765453"/>
    <w:rsid w:val="00774960"/>
    <w:rsid w:val="00775570"/>
    <w:rsid w:val="00775905"/>
    <w:rsid w:val="0078417C"/>
    <w:rsid w:val="00785AD6"/>
    <w:rsid w:val="00791A2A"/>
    <w:rsid w:val="00791B0C"/>
    <w:rsid w:val="00791E4C"/>
    <w:rsid w:val="007948F3"/>
    <w:rsid w:val="00795545"/>
    <w:rsid w:val="00796BF8"/>
    <w:rsid w:val="007A3798"/>
    <w:rsid w:val="007A4E98"/>
    <w:rsid w:val="007B0E3D"/>
    <w:rsid w:val="007B2DEA"/>
    <w:rsid w:val="007B5636"/>
    <w:rsid w:val="007D25AF"/>
    <w:rsid w:val="007E280A"/>
    <w:rsid w:val="007E51EA"/>
    <w:rsid w:val="007E66C0"/>
    <w:rsid w:val="007E725D"/>
    <w:rsid w:val="007F65DD"/>
    <w:rsid w:val="007F6E86"/>
    <w:rsid w:val="00806981"/>
    <w:rsid w:val="00806B70"/>
    <w:rsid w:val="00814A17"/>
    <w:rsid w:val="00817125"/>
    <w:rsid w:val="0082005D"/>
    <w:rsid w:val="00821915"/>
    <w:rsid w:val="008231B4"/>
    <w:rsid w:val="0082726B"/>
    <w:rsid w:val="00832065"/>
    <w:rsid w:val="008359BF"/>
    <w:rsid w:val="0083641A"/>
    <w:rsid w:val="00837FD6"/>
    <w:rsid w:val="00840B52"/>
    <w:rsid w:val="00845942"/>
    <w:rsid w:val="00847D74"/>
    <w:rsid w:val="00850E83"/>
    <w:rsid w:val="008519BA"/>
    <w:rsid w:val="00853741"/>
    <w:rsid w:val="00853E14"/>
    <w:rsid w:val="008548B7"/>
    <w:rsid w:val="00870153"/>
    <w:rsid w:val="00871AA6"/>
    <w:rsid w:val="008839E9"/>
    <w:rsid w:val="00885AC5"/>
    <w:rsid w:val="00887B1E"/>
    <w:rsid w:val="00894CB3"/>
    <w:rsid w:val="008A1C6B"/>
    <w:rsid w:val="008A43F0"/>
    <w:rsid w:val="008A6405"/>
    <w:rsid w:val="008A6CE4"/>
    <w:rsid w:val="008A6E50"/>
    <w:rsid w:val="008B5426"/>
    <w:rsid w:val="008B7458"/>
    <w:rsid w:val="008C2804"/>
    <w:rsid w:val="008C302E"/>
    <w:rsid w:val="008C792D"/>
    <w:rsid w:val="008D5610"/>
    <w:rsid w:val="008F04C4"/>
    <w:rsid w:val="008F3AD4"/>
    <w:rsid w:val="009030F6"/>
    <w:rsid w:val="00905678"/>
    <w:rsid w:val="0091264E"/>
    <w:rsid w:val="009157E1"/>
    <w:rsid w:val="00916525"/>
    <w:rsid w:val="00921DB2"/>
    <w:rsid w:val="0092389B"/>
    <w:rsid w:val="009250ED"/>
    <w:rsid w:val="00927874"/>
    <w:rsid w:val="009279BD"/>
    <w:rsid w:val="00931BF8"/>
    <w:rsid w:val="00935034"/>
    <w:rsid w:val="00940A45"/>
    <w:rsid w:val="0094150B"/>
    <w:rsid w:val="00941826"/>
    <w:rsid w:val="00947570"/>
    <w:rsid w:val="009479E6"/>
    <w:rsid w:val="00950213"/>
    <w:rsid w:val="0095456E"/>
    <w:rsid w:val="00964278"/>
    <w:rsid w:val="0096763F"/>
    <w:rsid w:val="00977EE0"/>
    <w:rsid w:val="009A08EF"/>
    <w:rsid w:val="009B1A1C"/>
    <w:rsid w:val="009C0137"/>
    <w:rsid w:val="009C48F4"/>
    <w:rsid w:val="009C4D19"/>
    <w:rsid w:val="009C661F"/>
    <w:rsid w:val="009D1D2B"/>
    <w:rsid w:val="009D7692"/>
    <w:rsid w:val="009E3AC3"/>
    <w:rsid w:val="009F16CB"/>
    <w:rsid w:val="009F4047"/>
    <w:rsid w:val="009F5667"/>
    <w:rsid w:val="009F7971"/>
    <w:rsid w:val="00A021CB"/>
    <w:rsid w:val="00A14DC1"/>
    <w:rsid w:val="00A1619E"/>
    <w:rsid w:val="00A16F9A"/>
    <w:rsid w:val="00A21962"/>
    <w:rsid w:val="00A25C52"/>
    <w:rsid w:val="00A27447"/>
    <w:rsid w:val="00A33EBD"/>
    <w:rsid w:val="00A3437F"/>
    <w:rsid w:val="00A3764F"/>
    <w:rsid w:val="00A40860"/>
    <w:rsid w:val="00A42800"/>
    <w:rsid w:val="00A43847"/>
    <w:rsid w:val="00A44ACF"/>
    <w:rsid w:val="00A46153"/>
    <w:rsid w:val="00A4654E"/>
    <w:rsid w:val="00A56AB4"/>
    <w:rsid w:val="00A572DD"/>
    <w:rsid w:val="00A7425A"/>
    <w:rsid w:val="00A749A4"/>
    <w:rsid w:val="00A7726D"/>
    <w:rsid w:val="00A81082"/>
    <w:rsid w:val="00A831C8"/>
    <w:rsid w:val="00A8358C"/>
    <w:rsid w:val="00A8401C"/>
    <w:rsid w:val="00A87064"/>
    <w:rsid w:val="00A90A85"/>
    <w:rsid w:val="00A954E8"/>
    <w:rsid w:val="00A961B9"/>
    <w:rsid w:val="00AA2808"/>
    <w:rsid w:val="00AA35BC"/>
    <w:rsid w:val="00AA5A30"/>
    <w:rsid w:val="00AB37FD"/>
    <w:rsid w:val="00AB4AA8"/>
    <w:rsid w:val="00AB4BF0"/>
    <w:rsid w:val="00AB4FE6"/>
    <w:rsid w:val="00AB7047"/>
    <w:rsid w:val="00AC2F4B"/>
    <w:rsid w:val="00AC4587"/>
    <w:rsid w:val="00AC583E"/>
    <w:rsid w:val="00AD5053"/>
    <w:rsid w:val="00AE19C1"/>
    <w:rsid w:val="00AE462C"/>
    <w:rsid w:val="00AE7882"/>
    <w:rsid w:val="00AF236C"/>
    <w:rsid w:val="00AF25AE"/>
    <w:rsid w:val="00AF3849"/>
    <w:rsid w:val="00AF4DCF"/>
    <w:rsid w:val="00B00BFD"/>
    <w:rsid w:val="00B02477"/>
    <w:rsid w:val="00B16565"/>
    <w:rsid w:val="00B2141D"/>
    <w:rsid w:val="00B2202E"/>
    <w:rsid w:val="00B2348C"/>
    <w:rsid w:val="00B23886"/>
    <w:rsid w:val="00B24B7D"/>
    <w:rsid w:val="00B338C8"/>
    <w:rsid w:val="00B34AFF"/>
    <w:rsid w:val="00B34DD6"/>
    <w:rsid w:val="00B36F80"/>
    <w:rsid w:val="00B470C5"/>
    <w:rsid w:val="00B5014D"/>
    <w:rsid w:val="00B50359"/>
    <w:rsid w:val="00B508DA"/>
    <w:rsid w:val="00B51AAE"/>
    <w:rsid w:val="00B52420"/>
    <w:rsid w:val="00B561C3"/>
    <w:rsid w:val="00B63F2A"/>
    <w:rsid w:val="00B70D3C"/>
    <w:rsid w:val="00B74351"/>
    <w:rsid w:val="00B80198"/>
    <w:rsid w:val="00B80528"/>
    <w:rsid w:val="00B81714"/>
    <w:rsid w:val="00B92A4D"/>
    <w:rsid w:val="00B95CD3"/>
    <w:rsid w:val="00BA53E8"/>
    <w:rsid w:val="00BA61B8"/>
    <w:rsid w:val="00BB31F2"/>
    <w:rsid w:val="00BC6DA3"/>
    <w:rsid w:val="00BD1DDD"/>
    <w:rsid w:val="00BD47CF"/>
    <w:rsid w:val="00BE7FAD"/>
    <w:rsid w:val="00BF3A00"/>
    <w:rsid w:val="00C00373"/>
    <w:rsid w:val="00C00F07"/>
    <w:rsid w:val="00C00FC6"/>
    <w:rsid w:val="00C0180E"/>
    <w:rsid w:val="00C0416D"/>
    <w:rsid w:val="00C04F30"/>
    <w:rsid w:val="00C04F91"/>
    <w:rsid w:val="00C12439"/>
    <w:rsid w:val="00C13371"/>
    <w:rsid w:val="00C20BDD"/>
    <w:rsid w:val="00C318AC"/>
    <w:rsid w:val="00C3195E"/>
    <w:rsid w:val="00C35356"/>
    <w:rsid w:val="00C3745E"/>
    <w:rsid w:val="00C41B14"/>
    <w:rsid w:val="00C41C8D"/>
    <w:rsid w:val="00C41D22"/>
    <w:rsid w:val="00C425F6"/>
    <w:rsid w:val="00C45BDB"/>
    <w:rsid w:val="00C53104"/>
    <w:rsid w:val="00C53575"/>
    <w:rsid w:val="00C55A9B"/>
    <w:rsid w:val="00C745D0"/>
    <w:rsid w:val="00C82125"/>
    <w:rsid w:val="00C85D8A"/>
    <w:rsid w:val="00C86137"/>
    <w:rsid w:val="00C87F81"/>
    <w:rsid w:val="00C903BA"/>
    <w:rsid w:val="00C94518"/>
    <w:rsid w:val="00C94CB3"/>
    <w:rsid w:val="00CA20AA"/>
    <w:rsid w:val="00CB342A"/>
    <w:rsid w:val="00CC0F50"/>
    <w:rsid w:val="00CC1811"/>
    <w:rsid w:val="00CC2FD2"/>
    <w:rsid w:val="00CC3CE6"/>
    <w:rsid w:val="00CC57AB"/>
    <w:rsid w:val="00CD1B2F"/>
    <w:rsid w:val="00CD5BFC"/>
    <w:rsid w:val="00CD68D2"/>
    <w:rsid w:val="00CD71FF"/>
    <w:rsid w:val="00CE0330"/>
    <w:rsid w:val="00CE1379"/>
    <w:rsid w:val="00CF14A9"/>
    <w:rsid w:val="00D040C3"/>
    <w:rsid w:val="00D05F2B"/>
    <w:rsid w:val="00D07DB8"/>
    <w:rsid w:val="00D1053C"/>
    <w:rsid w:val="00D13D12"/>
    <w:rsid w:val="00D15366"/>
    <w:rsid w:val="00D17A90"/>
    <w:rsid w:val="00D17C3B"/>
    <w:rsid w:val="00D209ED"/>
    <w:rsid w:val="00D210A0"/>
    <w:rsid w:val="00D3026D"/>
    <w:rsid w:val="00D303E1"/>
    <w:rsid w:val="00D368E9"/>
    <w:rsid w:val="00D42B59"/>
    <w:rsid w:val="00D521DB"/>
    <w:rsid w:val="00D52B38"/>
    <w:rsid w:val="00D5790E"/>
    <w:rsid w:val="00D60087"/>
    <w:rsid w:val="00D729E8"/>
    <w:rsid w:val="00D72D66"/>
    <w:rsid w:val="00D76729"/>
    <w:rsid w:val="00D804A7"/>
    <w:rsid w:val="00D81409"/>
    <w:rsid w:val="00D844DA"/>
    <w:rsid w:val="00D90A06"/>
    <w:rsid w:val="00D91586"/>
    <w:rsid w:val="00D91AFD"/>
    <w:rsid w:val="00D957EA"/>
    <w:rsid w:val="00D96B8E"/>
    <w:rsid w:val="00D974E1"/>
    <w:rsid w:val="00DA70E7"/>
    <w:rsid w:val="00DB496A"/>
    <w:rsid w:val="00DB4A25"/>
    <w:rsid w:val="00DB63BC"/>
    <w:rsid w:val="00DC52DC"/>
    <w:rsid w:val="00DD2D87"/>
    <w:rsid w:val="00E01977"/>
    <w:rsid w:val="00E02ABE"/>
    <w:rsid w:val="00E0334F"/>
    <w:rsid w:val="00E0354C"/>
    <w:rsid w:val="00E04AA6"/>
    <w:rsid w:val="00E05D4D"/>
    <w:rsid w:val="00E13FDC"/>
    <w:rsid w:val="00E1503A"/>
    <w:rsid w:val="00E16A9E"/>
    <w:rsid w:val="00E17CD2"/>
    <w:rsid w:val="00E2246D"/>
    <w:rsid w:val="00E23645"/>
    <w:rsid w:val="00E25587"/>
    <w:rsid w:val="00E32640"/>
    <w:rsid w:val="00E32E6A"/>
    <w:rsid w:val="00E41141"/>
    <w:rsid w:val="00E445E2"/>
    <w:rsid w:val="00E44B3C"/>
    <w:rsid w:val="00E55D36"/>
    <w:rsid w:val="00E567E1"/>
    <w:rsid w:val="00E64B81"/>
    <w:rsid w:val="00E652F7"/>
    <w:rsid w:val="00E707EA"/>
    <w:rsid w:val="00E847D1"/>
    <w:rsid w:val="00E93F67"/>
    <w:rsid w:val="00EA0D32"/>
    <w:rsid w:val="00EA1F6A"/>
    <w:rsid w:val="00EB0FAC"/>
    <w:rsid w:val="00EB2796"/>
    <w:rsid w:val="00EB3073"/>
    <w:rsid w:val="00EB5D4F"/>
    <w:rsid w:val="00EB617F"/>
    <w:rsid w:val="00EC0BA2"/>
    <w:rsid w:val="00EC25F1"/>
    <w:rsid w:val="00EC6A35"/>
    <w:rsid w:val="00EC7B02"/>
    <w:rsid w:val="00ED2D53"/>
    <w:rsid w:val="00EF7F3C"/>
    <w:rsid w:val="00F033E8"/>
    <w:rsid w:val="00F12D43"/>
    <w:rsid w:val="00F13853"/>
    <w:rsid w:val="00F1414A"/>
    <w:rsid w:val="00F14F96"/>
    <w:rsid w:val="00F15428"/>
    <w:rsid w:val="00F157C7"/>
    <w:rsid w:val="00F1643B"/>
    <w:rsid w:val="00F2035F"/>
    <w:rsid w:val="00F20631"/>
    <w:rsid w:val="00F4566A"/>
    <w:rsid w:val="00F54134"/>
    <w:rsid w:val="00F55363"/>
    <w:rsid w:val="00F631E6"/>
    <w:rsid w:val="00F668BE"/>
    <w:rsid w:val="00F71A1A"/>
    <w:rsid w:val="00F80DDF"/>
    <w:rsid w:val="00F84F16"/>
    <w:rsid w:val="00F879B8"/>
    <w:rsid w:val="00F9437A"/>
    <w:rsid w:val="00F96AE0"/>
    <w:rsid w:val="00F97638"/>
    <w:rsid w:val="00FA0734"/>
    <w:rsid w:val="00FA290E"/>
    <w:rsid w:val="00FB2638"/>
    <w:rsid w:val="00FC0E78"/>
    <w:rsid w:val="00FC3B62"/>
    <w:rsid w:val="00FC418B"/>
    <w:rsid w:val="00FD08B9"/>
    <w:rsid w:val="00FD21F3"/>
    <w:rsid w:val="00FD3100"/>
    <w:rsid w:val="00FD471F"/>
    <w:rsid w:val="00FD77D5"/>
    <w:rsid w:val="00FE2B6E"/>
    <w:rsid w:val="00FE494D"/>
    <w:rsid w:val="00FE4CB5"/>
    <w:rsid w:val="00FE776F"/>
    <w:rsid w:val="00FF2A9F"/>
    <w:rsid w:val="00FF4599"/>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8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C5"/>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C5"/>
    <w:rPr>
      <w:color w:val="0000FF" w:themeColor="hyperlink"/>
      <w:u w:val="single"/>
    </w:rPr>
  </w:style>
  <w:style w:type="paragraph" w:styleId="Header">
    <w:name w:val="header"/>
    <w:basedOn w:val="Normal"/>
    <w:link w:val="HeaderChar"/>
    <w:uiPriority w:val="99"/>
    <w:unhideWhenUsed/>
    <w:rsid w:val="00223221"/>
    <w:pPr>
      <w:tabs>
        <w:tab w:val="center" w:pos="4680"/>
        <w:tab w:val="right" w:pos="9360"/>
      </w:tabs>
    </w:pPr>
  </w:style>
  <w:style w:type="character" w:customStyle="1" w:styleId="HeaderChar">
    <w:name w:val="Header Char"/>
    <w:basedOn w:val="DefaultParagraphFont"/>
    <w:link w:val="Header"/>
    <w:uiPriority w:val="99"/>
    <w:rsid w:val="00223221"/>
    <w:rPr>
      <w:rFonts w:ascii="Century Schoolbook" w:eastAsia="Times New Roman" w:hAnsi="Century Schoolbook" w:cs="Times New Roman"/>
    </w:rPr>
  </w:style>
  <w:style w:type="paragraph" w:styleId="Footer">
    <w:name w:val="footer"/>
    <w:basedOn w:val="Normal"/>
    <w:link w:val="FooterChar"/>
    <w:uiPriority w:val="99"/>
    <w:unhideWhenUsed/>
    <w:rsid w:val="00223221"/>
    <w:pPr>
      <w:tabs>
        <w:tab w:val="center" w:pos="4680"/>
        <w:tab w:val="right" w:pos="9360"/>
      </w:tabs>
    </w:pPr>
  </w:style>
  <w:style w:type="character" w:customStyle="1" w:styleId="FooterChar">
    <w:name w:val="Footer Char"/>
    <w:basedOn w:val="DefaultParagraphFont"/>
    <w:link w:val="Footer"/>
    <w:uiPriority w:val="99"/>
    <w:rsid w:val="00223221"/>
    <w:rPr>
      <w:rFonts w:ascii="Century Schoolbook" w:eastAsia="Times New Roman" w:hAnsi="Century Schoolbook" w:cs="Times New Roman"/>
    </w:rPr>
  </w:style>
  <w:style w:type="paragraph" w:styleId="NormalWeb">
    <w:name w:val="Normal (Web)"/>
    <w:basedOn w:val="Normal"/>
    <w:uiPriority w:val="99"/>
    <w:semiHidden/>
    <w:unhideWhenUsed/>
    <w:rsid w:val="00F13853"/>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562168"/>
    <w:rPr>
      <w:rFonts w:ascii="Calibri" w:eastAsiaTheme="minorHAnsi" w:hAnsi="Calibri" w:cs="Calibri"/>
    </w:rPr>
  </w:style>
  <w:style w:type="character" w:customStyle="1" w:styleId="PlainTextChar">
    <w:name w:val="Plain Text Char"/>
    <w:basedOn w:val="DefaultParagraphFont"/>
    <w:link w:val="PlainText"/>
    <w:uiPriority w:val="99"/>
    <w:semiHidden/>
    <w:rsid w:val="00562168"/>
    <w:rPr>
      <w:rFonts w:ascii="Calibri" w:hAnsi="Calibri" w:cs="Calibri"/>
    </w:rPr>
  </w:style>
  <w:style w:type="character" w:styleId="CommentReference">
    <w:name w:val="annotation reference"/>
    <w:basedOn w:val="DefaultParagraphFont"/>
    <w:uiPriority w:val="99"/>
    <w:semiHidden/>
    <w:unhideWhenUsed/>
    <w:rsid w:val="00F4566A"/>
    <w:rPr>
      <w:sz w:val="16"/>
      <w:szCs w:val="16"/>
    </w:rPr>
  </w:style>
  <w:style w:type="paragraph" w:styleId="CommentText">
    <w:name w:val="annotation text"/>
    <w:basedOn w:val="Normal"/>
    <w:link w:val="CommentTextChar"/>
    <w:uiPriority w:val="99"/>
    <w:unhideWhenUsed/>
    <w:rsid w:val="00F4566A"/>
    <w:rPr>
      <w:sz w:val="20"/>
      <w:szCs w:val="20"/>
    </w:rPr>
  </w:style>
  <w:style w:type="character" w:customStyle="1" w:styleId="CommentTextChar">
    <w:name w:val="Comment Text Char"/>
    <w:basedOn w:val="DefaultParagraphFont"/>
    <w:link w:val="CommentText"/>
    <w:uiPriority w:val="99"/>
    <w:rsid w:val="00F4566A"/>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F4566A"/>
    <w:rPr>
      <w:b/>
      <w:bCs/>
    </w:rPr>
  </w:style>
  <w:style w:type="character" w:customStyle="1" w:styleId="CommentSubjectChar">
    <w:name w:val="Comment Subject Char"/>
    <w:basedOn w:val="CommentTextChar"/>
    <w:link w:val="CommentSubject"/>
    <w:uiPriority w:val="99"/>
    <w:semiHidden/>
    <w:rsid w:val="00F4566A"/>
    <w:rPr>
      <w:rFonts w:ascii="Century Schoolbook" w:eastAsia="Times New Roman" w:hAnsi="Century Schoolbook" w:cs="Times New Roman"/>
      <w:b/>
      <w:bCs/>
      <w:sz w:val="20"/>
      <w:szCs w:val="20"/>
    </w:rPr>
  </w:style>
  <w:style w:type="paragraph" w:styleId="BalloonText">
    <w:name w:val="Balloon Text"/>
    <w:basedOn w:val="Normal"/>
    <w:link w:val="BalloonTextChar"/>
    <w:uiPriority w:val="99"/>
    <w:semiHidden/>
    <w:unhideWhenUsed/>
    <w:rsid w:val="00F4566A"/>
    <w:rPr>
      <w:rFonts w:ascii="Tahoma" w:hAnsi="Tahoma" w:cs="Tahoma"/>
      <w:sz w:val="16"/>
      <w:szCs w:val="16"/>
    </w:rPr>
  </w:style>
  <w:style w:type="character" w:customStyle="1" w:styleId="BalloonTextChar">
    <w:name w:val="Balloon Text Char"/>
    <w:basedOn w:val="DefaultParagraphFont"/>
    <w:link w:val="BalloonText"/>
    <w:uiPriority w:val="99"/>
    <w:semiHidden/>
    <w:rsid w:val="00F4566A"/>
    <w:rPr>
      <w:rFonts w:ascii="Tahoma" w:eastAsia="Times New Roman" w:hAnsi="Tahoma" w:cs="Tahoma"/>
      <w:sz w:val="16"/>
      <w:szCs w:val="16"/>
    </w:rPr>
  </w:style>
  <w:style w:type="paragraph" w:customStyle="1" w:styleId="Default">
    <w:name w:val="Default"/>
    <w:rsid w:val="000D1FF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039FB"/>
    <w:pPr>
      <w:spacing w:after="0" w:line="240" w:lineRule="auto"/>
    </w:pPr>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432">
      <w:bodyDiv w:val="1"/>
      <w:marLeft w:val="0"/>
      <w:marRight w:val="0"/>
      <w:marTop w:val="0"/>
      <w:marBottom w:val="0"/>
      <w:divBdr>
        <w:top w:val="none" w:sz="0" w:space="0" w:color="auto"/>
        <w:left w:val="none" w:sz="0" w:space="0" w:color="auto"/>
        <w:bottom w:val="none" w:sz="0" w:space="0" w:color="auto"/>
        <w:right w:val="none" w:sz="0" w:space="0" w:color="auto"/>
      </w:divBdr>
    </w:div>
    <w:div w:id="115833659">
      <w:bodyDiv w:val="1"/>
      <w:marLeft w:val="0"/>
      <w:marRight w:val="0"/>
      <w:marTop w:val="0"/>
      <w:marBottom w:val="0"/>
      <w:divBdr>
        <w:top w:val="none" w:sz="0" w:space="0" w:color="auto"/>
        <w:left w:val="none" w:sz="0" w:space="0" w:color="auto"/>
        <w:bottom w:val="none" w:sz="0" w:space="0" w:color="auto"/>
        <w:right w:val="none" w:sz="0" w:space="0" w:color="auto"/>
      </w:divBdr>
    </w:div>
    <w:div w:id="117378261">
      <w:bodyDiv w:val="1"/>
      <w:marLeft w:val="0"/>
      <w:marRight w:val="0"/>
      <w:marTop w:val="0"/>
      <w:marBottom w:val="0"/>
      <w:divBdr>
        <w:top w:val="none" w:sz="0" w:space="0" w:color="auto"/>
        <w:left w:val="none" w:sz="0" w:space="0" w:color="auto"/>
        <w:bottom w:val="none" w:sz="0" w:space="0" w:color="auto"/>
        <w:right w:val="none" w:sz="0" w:space="0" w:color="auto"/>
      </w:divBdr>
    </w:div>
    <w:div w:id="340159771">
      <w:bodyDiv w:val="1"/>
      <w:marLeft w:val="0"/>
      <w:marRight w:val="0"/>
      <w:marTop w:val="0"/>
      <w:marBottom w:val="0"/>
      <w:divBdr>
        <w:top w:val="none" w:sz="0" w:space="0" w:color="auto"/>
        <w:left w:val="none" w:sz="0" w:space="0" w:color="auto"/>
        <w:bottom w:val="none" w:sz="0" w:space="0" w:color="auto"/>
        <w:right w:val="none" w:sz="0" w:space="0" w:color="auto"/>
      </w:divBdr>
    </w:div>
    <w:div w:id="353776718">
      <w:bodyDiv w:val="1"/>
      <w:marLeft w:val="0"/>
      <w:marRight w:val="0"/>
      <w:marTop w:val="0"/>
      <w:marBottom w:val="0"/>
      <w:divBdr>
        <w:top w:val="none" w:sz="0" w:space="0" w:color="auto"/>
        <w:left w:val="none" w:sz="0" w:space="0" w:color="auto"/>
        <w:bottom w:val="none" w:sz="0" w:space="0" w:color="auto"/>
        <w:right w:val="none" w:sz="0" w:space="0" w:color="auto"/>
      </w:divBdr>
    </w:div>
    <w:div w:id="378938635">
      <w:bodyDiv w:val="1"/>
      <w:marLeft w:val="0"/>
      <w:marRight w:val="0"/>
      <w:marTop w:val="0"/>
      <w:marBottom w:val="0"/>
      <w:divBdr>
        <w:top w:val="none" w:sz="0" w:space="0" w:color="auto"/>
        <w:left w:val="none" w:sz="0" w:space="0" w:color="auto"/>
        <w:bottom w:val="none" w:sz="0" w:space="0" w:color="auto"/>
        <w:right w:val="none" w:sz="0" w:space="0" w:color="auto"/>
      </w:divBdr>
    </w:div>
    <w:div w:id="411439574">
      <w:bodyDiv w:val="1"/>
      <w:marLeft w:val="0"/>
      <w:marRight w:val="0"/>
      <w:marTop w:val="0"/>
      <w:marBottom w:val="0"/>
      <w:divBdr>
        <w:top w:val="none" w:sz="0" w:space="0" w:color="auto"/>
        <w:left w:val="none" w:sz="0" w:space="0" w:color="auto"/>
        <w:bottom w:val="none" w:sz="0" w:space="0" w:color="auto"/>
        <w:right w:val="none" w:sz="0" w:space="0" w:color="auto"/>
      </w:divBdr>
    </w:div>
    <w:div w:id="477570557">
      <w:bodyDiv w:val="1"/>
      <w:marLeft w:val="0"/>
      <w:marRight w:val="0"/>
      <w:marTop w:val="0"/>
      <w:marBottom w:val="0"/>
      <w:divBdr>
        <w:top w:val="none" w:sz="0" w:space="0" w:color="auto"/>
        <w:left w:val="none" w:sz="0" w:space="0" w:color="auto"/>
        <w:bottom w:val="none" w:sz="0" w:space="0" w:color="auto"/>
        <w:right w:val="none" w:sz="0" w:space="0" w:color="auto"/>
      </w:divBdr>
    </w:div>
    <w:div w:id="499199809">
      <w:bodyDiv w:val="1"/>
      <w:marLeft w:val="0"/>
      <w:marRight w:val="0"/>
      <w:marTop w:val="0"/>
      <w:marBottom w:val="0"/>
      <w:divBdr>
        <w:top w:val="none" w:sz="0" w:space="0" w:color="auto"/>
        <w:left w:val="none" w:sz="0" w:space="0" w:color="auto"/>
        <w:bottom w:val="none" w:sz="0" w:space="0" w:color="auto"/>
        <w:right w:val="none" w:sz="0" w:space="0" w:color="auto"/>
      </w:divBdr>
    </w:div>
    <w:div w:id="503326050">
      <w:bodyDiv w:val="1"/>
      <w:marLeft w:val="0"/>
      <w:marRight w:val="0"/>
      <w:marTop w:val="0"/>
      <w:marBottom w:val="0"/>
      <w:divBdr>
        <w:top w:val="none" w:sz="0" w:space="0" w:color="auto"/>
        <w:left w:val="none" w:sz="0" w:space="0" w:color="auto"/>
        <w:bottom w:val="none" w:sz="0" w:space="0" w:color="auto"/>
        <w:right w:val="none" w:sz="0" w:space="0" w:color="auto"/>
      </w:divBdr>
    </w:div>
    <w:div w:id="516430429">
      <w:bodyDiv w:val="1"/>
      <w:marLeft w:val="0"/>
      <w:marRight w:val="0"/>
      <w:marTop w:val="0"/>
      <w:marBottom w:val="0"/>
      <w:divBdr>
        <w:top w:val="none" w:sz="0" w:space="0" w:color="auto"/>
        <w:left w:val="none" w:sz="0" w:space="0" w:color="auto"/>
        <w:bottom w:val="none" w:sz="0" w:space="0" w:color="auto"/>
        <w:right w:val="none" w:sz="0" w:space="0" w:color="auto"/>
      </w:divBdr>
    </w:div>
    <w:div w:id="537547173">
      <w:bodyDiv w:val="1"/>
      <w:marLeft w:val="0"/>
      <w:marRight w:val="0"/>
      <w:marTop w:val="0"/>
      <w:marBottom w:val="0"/>
      <w:divBdr>
        <w:top w:val="none" w:sz="0" w:space="0" w:color="auto"/>
        <w:left w:val="none" w:sz="0" w:space="0" w:color="auto"/>
        <w:bottom w:val="none" w:sz="0" w:space="0" w:color="auto"/>
        <w:right w:val="none" w:sz="0" w:space="0" w:color="auto"/>
      </w:divBdr>
    </w:div>
    <w:div w:id="577053431">
      <w:bodyDiv w:val="1"/>
      <w:marLeft w:val="0"/>
      <w:marRight w:val="0"/>
      <w:marTop w:val="0"/>
      <w:marBottom w:val="0"/>
      <w:divBdr>
        <w:top w:val="none" w:sz="0" w:space="0" w:color="auto"/>
        <w:left w:val="none" w:sz="0" w:space="0" w:color="auto"/>
        <w:bottom w:val="none" w:sz="0" w:space="0" w:color="auto"/>
        <w:right w:val="none" w:sz="0" w:space="0" w:color="auto"/>
      </w:divBdr>
    </w:div>
    <w:div w:id="914626129">
      <w:bodyDiv w:val="1"/>
      <w:marLeft w:val="0"/>
      <w:marRight w:val="0"/>
      <w:marTop w:val="0"/>
      <w:marBottom w:val="0"/>
      <w:divBdr>
        <w:top w:val="none" w:sz="0" w:space="0" w:color="auto"/>
        <w:left w:val="none" w:sz="0" w:space="0" w:color="auto"/>
        <w:bottom w:val="none" w:sz="0" w:space="0" w:color="auto"/>
        <w:right w:val="none" w:sz="0" w:space="0" w:color="auto"/>
      </w:divBdr>
    </w:div>
    <w:div w:id="977681822">
      <w:bodyDiv w:val="1"/>
      <w:marLeft w:val="0"/>
      <w:marRight w:val="0"/>
      <w:marTop w:val="0"/>
      <w:marBottom w:val="0"/>
      <w:divBdr>
        <w:top w:val="none" w:sz="0" w:space="0" w:color="auto"/>
        <w:left w:val="none" w:sz="0" w:space="0" w:color="auto"/>
        <w:bottom w:val="none" w:sz="0" w:space="0" w:color="auto"/>
        <w:right w:val="none" w:sz="0" w:space="0" w:color="auto"/>
      </w:divBdr>
    </w:div>
    <w:div w:id="1056708134">
      <w:bodyDiv w:val="1"/>
      <w:marLeft w:val="0"/>
      <w:marRight w:val="0"/>
      <w:marTop w:val="0"/>
      <w:marBottom w:val="0"/>
      <w:divBdr>
        <w:top w:val="none" w:sz="0" w:space="0" w:color="auto"/>
        <w:left w:val="none" w:sz="0" w:space="0" w:color="auto"/>
        <w:bottom w:val="none" w:sz="0" w:space="0" w:color="auto"/>
        <w:right w:val="none" w:sz="0" w:space="0" w:color="auto"/>
      </w:divBdr>
    </w:div>
    <w:div w:id="1171070704">
      <w:bodyDiv w:val="1"/>
      <w:marLeft w:val="0"/>
      <w:marRight w:val="0"/>
      <w:marTop w:val="0"/>
      <w:marBottom w:val="0"/>
      <w:divBdr>
        <w:top w:val="none" w:sz="0" w:space="0" w:color="auto"/>
        <w:left w:val="none" w:sz="0" w:space="0" w:color="auto"/>
        <w:bottom w:val="none" w:sz="0" w:space="0" w:color="auto"/>
        <w:right w:val="none" w:sz="0" w:space="0" w:color="auto"/>
      </w:divBdr>
    </w:div>
    <w:div w:id="1180046385">
      <w:bodyDiv w:val="1"/>
      <w:marLeft w:val="0"/>
      <w:marRight w:val="0"/>
      <w:marTop w:val="0"/>
      <w:marBottom w:val="0"/>
      <w:divBdr>
        <w:top w:val="none" w:sz="0" w:space="0" w:color="auto"/>
        <w:left w:val="none" w:sz="0" w:space="0" w:color="auto"/>
        <w:bottom w:val="none" w:sz="0" w:space="0" w:color="auto"/>
        <w:right w:val="none" w:sz="0" w:space="0" w:color="auto"/>
      </w:divBdr>
    </w:div>
    <w:div w:id="1218933430">
      <w:bodyDiv w:val="1"/>
      <w:marLeft w:val="0"/>
      <w:marRight w:val="0"/>
      <w:marTop w:val="0"/>
      <w:marBottom w:val="0"/>
      <w:divBdr>
        <w:top w:val="none" w:sz="0" w:space="0" w:color="auto"/>
        <w:left w:val="none" w:sz="0" w:space="0" w:color="auto"/>
        <w:bottom w:val="none" w:sz="0" w:space="0" w:color="auto"/>
        <w:right w:val="none" w:sz="0" w:space="0" w:color="auto"/>
      </w:divBdr>
    </w:div>
    <w:div w:id="1225485429">
      <w:bodyDiv w:val="1"/>
      <w:marLeft w:val="0"/>
      <w:marRight w:val="0"/>
      <w:marTop w:val="0"/>
      <w:marBottom w:val="0"/>
      <w:divBdr>
        <w:top w:val="none" w:sz="0" w:space="0" w:color="auto"/>
        <w:left w:val="none" w:sz="0" w:space="0" w:color="auto"/>
        <w:bottom w:val="none" w:sz="0" w:space="0" w:color="auto"/>
        <w:right w:val="none" w:sz="0" w:space="0" w:color="auto"/>
      </w:divBdr>
    </w:div>
    <w:div w:id="1287421126">
      <w:bodyDiv w:val="1"/>
      <w:marLeft w:val="0"/>
      <w:marRight w:val="0"/>
      <w:marTop w:val="0"/>
      <w:marBottom w:val="0"/>
      <w:divBdr>
        <w:top w:val="none" w:sz="0" w:space="0" w:color="auto"/>
        <w:left w:val="none" w:sz="0" w:space="0" w:color="auto"/>
        <w:bottom w:val="none" w:sz="0" w:space="0" w:color="auto"/>
        <w:right w:val="none" w:sz="0" w:space="0" w:color="auto"/>
      </w:divBdr>
    </w:div>
    <w:div w:id="1451628103">
      <w:bodyDiv w:val="1"/>
      <w:marLeft w:val="0"/>
      <w:marRight w:val="0"/>
      <w:marTop w:val="0"/>
      <w:marBottom w:val="0"/>
      <w:divBdr>
        <w:top w:val="none" w:sz="0" w:space="0" w:color="auto"/>
        <w:left w:val="none" w:sz="0" w:space="0" w:color="auto"/>
        <w:bottom w:val="none" w:sz="0" w:space="0" w:color="auto"/>
        <w:right w:val="none" w:sz="0" w:space="0" w:color="auto"/>
      </w:divBdr>
    </w:div>
    <w:div w:id="1488206841">
      <w:bodyDiv w:val="1"/>
      <w:marLeft w:val="0"/>
      <w:marRight w:val="0"/>
      <w:marTop w:val="0"/>
      <w:marBottom w:val="0"/>
      <w:divBdr>
        <w:top w:val="none" w:sz="0" w:space="0" w:color="auto"/>
        <w:left w:val="none" w:sz="0" w:space="0" w:color="auto"/>
        <w:bottom w:val="none" w:sz="0" w:space="0" w:color="auto"/>
        <w:right w:val="none" w:sz="0" w:space="0" w:color="auto"/>
      </w:divBdr>
    </w:div>
    <w:div w:id="1520317784">
      <w:bodyDiv w:val="1"/>
      <w:marLeft w:val="0"/>
      <w:marRight w:val="0"/>
      <w:marTop w:val="0"/>
      <w:marBottom w:val="0"/>
      <w:divBdr>
        <w:top w:val="none" w:sz="0" w:space="0" w:color="auto"/>
        <w:left w:val="none" w:sz="0" w:space="0" w:color="auto"/>
        <w:bottom w:val="none" w:sz="0" w:space="0" w:color="auto"/>
        <w:right w:val="none" w:sz="0" w:space="0" w:color="auto"/>
      </w:divBdr>
    </w:div>
    <w:div w:id="1582177354">
      <w:bodyDiv w:val="1"/>
      <w:marLeft w:val="0"/>
      <w:marRight w:val="0"/>
      <w:marTop w:val="0"/>
      <w:marBottom w:val="0"/>
      <w:divBdr>
        <w:top w:val="none" w:sz="0" w:space="0" w:color="auto"/>
        <w:left w:val="none" w:sz="0" w:space="0" w:color="auto"/>
        <w:bottom w:val="none" w:sz="0" w:space="0" w:color="auto"/>
        <w:right w:val="none" w:sz="0" w:space="0" w:color="auto"/>
      </w:divBdr>
    </w:div>
    <w:div w:id="1689334931">
      <w:bodyDiv w:val="1"/>
      <w:marLeft w:val="0"/>
      <w:marRight w:val="0"/>
      <w:marTop w:val="0"/>
      <w:marBottom w:val="0"/>
      <w:divBdr>
        <w:top w:val="none" w:sz="0" w:space="0" w:color="auto"/>
        <w:left w:val="none" w:sz="0" w:space="0" w:color="auto"/>
        <w:bottom w:val="none" w:sz="0" w:space="0" w:color="auto"/>
        <w:right w:val="none" w:sz="0" w:space="0" w:color="auto"/>
      </w:divBdr>
    </w:div>
    <w:div w:id="1716537528">
      <w:bodyDiv w:val="1"/>
      <w:marLeft w:val="0"/>
      <w:marRight w:val="0"/>
      <w:marTop w:val="0"/>
      <w:marBottom w:val="0"/>
      <w:divBdr>
        <w:top w:val="none" w:sz="0" w:space="0" w:color="auto"/>
        <w:left w:val="none" w:sz="0" w:space="0" w:color="auto"/>
        <w:bottom w:val="none" w:sz="0" w:space="0" w:color="auto"/>
        <w:right w:val="none" w:sz="0" w:space="0" w:color="auto"/>
      </w:divBdr>
    </w:div>
    <w:div w:id="1802838857">
      <w:bodyDiv w:val="1"/>
      <w:marLeft w:val="0"/>
      <w:marRight w:val="0"/>
      <w:marTop w:val="0"/>
      <w:marBottom w:val="0"/>
      <w:divBdr>
        <w:top w:val="none" w:sz="0" w:space="0" w:color="auto"/>
        <w:left w:val="none" w:sz="0" w:space="0" w:color="auto"/>
        <w:bottom w:val="none" w:sz="0" w:space="0" w:color="auto"/>
        <w:right w:val="none" w:sz="0" w:space="0" w:color="auto"/>
      </w:divBdr>
    </w:div>
    <w:div w:id="1917812283">
      <w:bodyDiv w:val="1"/>
      <w:marLeft w:val="0"/>
      <w:marRight w:val="0"/>
      <w:marTop w:val="0"/>
      <w:marBottom w:val="0"/>
      <w:divBdr>
        <w:top w:val="none" w:sz="0" w:space="0" w:color="auto"/>
        <w:left w:val="none" w:sz="0" w:space="0" w:color="auto"/>
        <w:bottom w:val="none" w:sz="0" w:space="0" w:color="auto"/>
        <w:right w:val="none" w:sz="0" w:space="0" w:color="auto"/>
      </w:divBdr>
    </w:div>
    <w:div w:id="1933393335">
      <w:bodyDiv w:val="1"/>
      <w:marLeft w:val="0"/>
      <w:marRight w:val="0"/>
      <w:marTop w:val="0"/>
      <w:marBottom w:val="0"/>
      <w:divBdr>
        <w:top w:val="none" w:sz="0" w:space="0" w:color="auto"/>
        <w:left w:val="none" w:sz="0" w:space="0" w:color="auto"/>
        <w:bottom w:val="none" w:sz="0" w:space="0" w:color="auto"/>
        <w:right w:val="none" w:sz="0" w:space="0" w:color="auto"/>
      </w:divBdr>
    </w:div>
    <w:div w:id="1968927646">
      <w:bodyDiv w:val="1"/>
      <w:marLeft w:val="0"/>
      <w:marRight w:val="0"/>
      <w:marTop w:val="0"/>
      <w:marBottom w:val="0"/>
      <w:divBdr>
        <w:top w:val="none" w:sz="0" w:space="0" w:color="auto"/>
        <w:left w:val="none" w:sz="0" w:space="0" w:color="auto"/>
        <w:bottom w:val="none" w:sz="0" w:space="0" w:color="auto"/>
        <w:right w:val="none" w:sz="0" w:space="0" w:color="auto"/>
      </w:divBdr>
    </w:div>
    <w:div w:id="2050959124">
      <w:bodyDiv w:val="1"/>
      <w:marLeft w:val="0"/>
      <w:marRight w:val="0"/>
      <w:marTop w:val="0"/>
      <w:marBottom w:val="0"/>
      <w:divBdr>
        <w:top w:val="none" w:sz="0" w:space="0" w:color="auto"/>
        <w:left w:val="none" w:sz="0" w:space="0" w:color="auto"/>
        <w:bottom w:val="none" w:sz="0" w:space="0" w:color="auto"/>
        <w:right w:val="none" w:sz="0" w:space="0" w:color="auto"/>
      </w:divBdr>
    </w:div>
    <w:div w:id="21138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2023-12-13T19:20:00Z</dcterms:created>
  <dcterms:modified xsi:type="dcterms:W3CDTF">2024-01-05T13:15:00Z</dcterms:modified>
</cp:coreProperties>
</file>